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96" w:rsidRPr="00406426" w:rsidRDefault="00701D79" w:rsidP="00E81A8A">
      <w:pPr>
        <w:jc w:val="center"/>
        <w:rPr>
          <w:rFonts w:cstheme="minorHAnsi"/>
          <w:b/>
          <w:sz w:val="24"/>
          <w:szCs w:val="24"/>
        </w:rPr>
      </w:pPr>
      <w:r w:rsidRPr="00406426">
        <w:rPr>
          <w:rFonts w:cstheme="minorHAnsi"/>
          <w:b/>
          <w:sz w:val="24"/>
          <w:szCs w:val="24"/>
        </w:rPr>
        <w:t>2019 Federal Environmental</w:t>
      </w:r>
      <w:r w:rsidR="00E81A8A" w:rsidRPr="00406426">
        <w:rPr>
          <w:rFonts w:cstheme="minorHAnsi"/>
          <w:b/>
          <w:sz w:val="24"/>
          <w:szCs w:val="24"/>
        </w:rPr>
        <w:t xml:space="preserve"> Symposium</w:t>
      </w:r>
    </w:p>
    <w:p w:rsidR="00E81A8A" w:rsidRPr="00701D79" w:rsidRDefault="00CA11F2" w:rsidP="00E81A8A">
      <w:pPr>
        <w:jc w:val="center"/>
        <w:rPr>
          <w:rFonts w:cstheme="minorHAnsi"/>
        </w:rPr>
      </w:pPr>
      <w:r>
        <w:rPr>
          <w:rFonts w:cstheme="minorHAnsi"/>
        </w:rPr>
        <w:t>Instruct</w:t>
      </w:r>
      <w:r w:rsidR="008252CC">
        <w:rPr>
          <w:rFonts w:cstheme="minorHAnsi"/>
        </w:rPr>
        <w:t>ions</w:t>
      </w:r>
      <w:r w:rsidR="00E81A8A" w:rsidRPr="00701D79">
        <w:rPr>
          <w:rFonts w:cstheme="minorHAnsi"/>
        </w:rPr>
        <w:t xml:space="preserve"> to Presentations/Speakers</w:t>
      </w:r>
    </w:p>
    <w:p w:rsidR="00E81A8A" w:rsidRPr="00701D79" w:rsidRDefault="00EA3F04">
      <w:pPr>
        <w:rPr>
          <w:rFonts w:cstheme="minorHAnsi"/>
          <w:b/>
          <w:u w:val="single"/>
        </w:rPr>
      </w:pPr>
      <w:r w:rsidRPr="00701D79">
        <w:rPr>
          <w:rFonts w:cstheme="minorHAnsi"/>
          <w:b/>
          <w:u w:val="single"/>
        </w:rPr>
        <w:t>INTRODUCTION</w:t>
      </w:r>
    </w:p>
    <w:p w:rsidR="00E81A8A" w:rsidRPr="00701D79" w:rsidRDefault="000673DE" w:rsidP="00E81A8A">
      <w:pPr>
        <w:rPr>
          <w:rFonts w:cstheme="minorHAnsi"/>
        </w:rPr>
      </w:pPr>
      <w:r w:rsidRPr="000673DE">
        <w:rPr>
          <w:rFonts w:cstheme="minorHAnsi"/>
        </w:rPr>
        <w:t xml:space="preserve">The 2019 Federal Environmental Symposium is a gathering of federal agencies to provide existing and relevant environmental information to Federal representatives. The main purpose is to encourage partnerships, sharing of information, and best practices among Federal facilities.  Speakers from </w:t>
      </w:r>
      <w:r w:rsidR="006A6097" w:rsidRPr="006A6097">
        <w:rPr>
          <w:rFonts w:cstheme="minorHAnsi"/>
          <w:u w:val="single"/>
        </w:rPr>
        <w:t>federal</w:t>
      </w:r>
      <w:r w:rsidR="006A6097">
        <w:rPr>
          <w:rFonts w:cstheme="minorHAnsi"/>
        </w:rPr>
        <w:t xml:space="preserve"> </w:t>
      </w:r>
      <w:r w:rsidRPr="000673DE">
        <w:rPr>
          <w:rFonts w:cstheme="minorHAnsi"/>
        </w:rPr>
        <w:t xml:space="preserve">agencies, </w:t>
      </w:r>
      <w:r w:rsidRPr="006A6097">
        <w:rPr>
          <w:rFonts w:cstheme="minorHAnsi"/>
          <w:u w:val="single"/>
        </w:rPr>
        <w:t>state</w:t>
      </w:r>
      <w:r w:rsidRPr="000673DE">
        <w:rPr>
          <w:rFonts w:cstheme="minorHAnsi"/>
        </w:rPr>
        <w:t xml:space="preserve"> </w:t>
      </w:r>
      <w:r w:rsidR="006A6097">
        <w:rPr>
          <w:rFonts w:cstheme="minorHAnsi"/>
        </w:rPr>
        <w:t xml:space="preserve">agencies </w:t>
      </w:r>
      <w:r w:rsidRPr="000673DE">
        <w:rPr>
          <w:rFonts w:cstheme="minorHAnsi"/>
        </w:rPr>
        <w:t>and the Environmental Protection Agency (EPA) will be invited to speak at the event.  This conference is being planned by an inter-agency group composed by the National Institutes of Health (NIH), National Aeronautics and Space Administration (NASA) , Department of Justice (DOJ), United States Department of Agriculture (USDA), Veteran Affairs (VA), Department of Homeland Security (DHS), Centers for Disease Control and Prevention (CDC), Department of Energy (DOE), Department of Health and Human Services (HHS), Army Corps of Engineers (</w:t>
      </w:r>
      <w:r w:rsidR="00E158C2">
        <w:rPr>
          <w:rFonts w:cstheme="minorHAnsi"/>
        </w:rPr>
        <w:t>US</w:t>
      </w:r>
      <w:r w:rsidRPr="000673DE">
        <w:rPr>
          <w:rFonts w:cstheme="minorHAnsi"/>
        </w:rPr>
        <w:t xml:space="preserve">ACE), Department of Defense (DoD) and EPA.  </w:t>
      </w:r>
      <w:r w:rsidR="00E81A8A" w:rsidRPr="00701D79">
        <w:rPr>
          <w:rFonts w:cstheme="minorHAnsi"/>
        </w:rPr>
        <w:t xml:space="preserve">  </w:t>
      </w:r>
    </w:p>
    <w:p w:rsidR="00EA3F04" w:rsidRPr="00701D79" w:rsidRDefault="00E81A8A" w:rsidP="00E81A8A">
      <w:pPr>
        <w:rPr>
          <w:rFonts w:cstheme="minorHAnsi"/>
        </w:rPr>
      </w:pPr>
      <w:bookmarkStart w:id="0" w:name="_Hlk1731733"/>
      <w:r w:rsidRPr="00701D79">
        <w:rPr>
          <w:rFonts w:cstheme="minorHAnsi"/>
        </w:rPr>
        <w:t xml:space="preserve">This year symposium’s theme is “Federal Facilities Leading Environmental Change.”  The tracks are:  Environmental Managements Systems (EMS), Environmental Compliance, Pollution Prevention and Waste Reduction, Protecting Our Watersheds, Energy and Water </w:t>
      </w:r>
      <w:r w:rsidR="00FC68EA">
        <w:rPr>
          <w:rFonts w:cstheme="minorHAnsi"/>
        </w:rPr>
        <w:t>Efficiency</w:t>
      </w:r>
      <w:r w:rsidRPr="00701D79">
        <w:rPr>
          <w:rFonts w:cstheme="minorHAnsi"/>
        </w:rPr>
        <w:t xml:space="preserve">, Sustainability, Best Environmental Practices, </w:t>
      </w:r>
      <w:r w:rsidR="00701D79" w:rsidRPr="00701D79">
        <w:rPr>
          <w:rFonts w:cstheme="minorHAnsi"/>
        </w:rPr>
        <w:t xml:space="preserve">and </w:t>
      </w:r>
      <w:r w:rsidRPr="00701D79">
        <w:rPr>
          <w:rFonts w:cstheme="minorHAnsi"/>
        </w:rPr>
        <w:t>Protecti</w:t>
      </w:r>
      <w:r w:rsidR="000451BE">
        <w:rPr>
          <w:rFonts w:cstheme="minorHAnsi"/>
        </w:rPr>
        <w:t>ng O</w:t>
      </w:r>
      <w:r w:rsidRPr="00701D79">
        <w:rPr>
          <w:rFonts w:cstheme="minorHAnsi"/>
        </w:rPr>
        <w:t xml:space="preserve">ur Natural Resources.  </w:t>
      </w:r>
    </w:p>
    <w:bookmarkEnd w:id="0"/>
    <w:p w:rsidR="00EA3F04" w:rsidRPr="00701D79" w:rsidRDefault="00EA3F04" w:rsidP="00EA3F04">
      <w:pPr>
        <w:spacing w:after="0" w:line="240" w:lineRule="auto"/>
        <w:jc w:val="both"/>
        <w:rPr>
          <w:rFonts w:eastAsia="Times New Roman" w:cstheme="minorHAnsi"/>
          <w:b/>
          <w:sz w:val="20"/>
          <w:szCs w:val="20"/>
        </w:rPr>
      </w:pPr>
    </w:p>
    <w:p w:rsidR="00EA3F04" w:rsidRPr="00701D79" w:rsidRDefault="00EA3F04" w:rsidP="00EA3F04">
      <w:pPr>
        <w:spacing w:after="0" w:line="240" w:lineRule="auto"/>
        <w:jc w:val="both"/>
        <w:rPr>
          <w:rFonts w:eastAsia="Times New Roman" w:cstheme="minorHAnsi"/>
        </w:rPr>
      </w:pPr>
      <w:r w:rsidRPr="00701D79">
        <w:rPr>
          <w:rFonts w:eastAsia="Times New Roman" w:cstheme="minorHAnsi"/>
          <w:b/>
          <w:u w:val="single"/>
        </w:rPr>
        <w:t>SELECTION PROCESS</w:t>
      </w:r>
      <w:r w:rsidRPr="00701D79">
        <w:rPr>
          <w:rFonts w:eastAsia="Times New Roman" w:cstheme="minorHAnsi"/>
        </w:rPr>
        <w:t xml:space="preserve">  </w:t>
      </w:r>
    </w:p>
    <w:p w:rsidR="00EA3F04" w:rsidRPr="00701D79" w:rsidRDefault="00EA3F04" w:rsidP="00EA3F04">
      <w:pPr>
        <w:spacing w:after="0" w:line="240" w:lineRule="auto"/>
        <w:jc w:val="both"/>
        <w:rPr>
          <w:rFonts w:eastAsia="Times New Roman" w:cstheme="minorHAnsi"/>
        </w:rPr>
      </w:pPr>
    </w:p>
    <w:p w:rsidR="00EA3F04" w:rsidRPr="003C3CB2" w:rsidRDefault="00EA3F04" w:rsidP="003C3CB2">
      <w:pPr>
        <w:spacing w:after="0" w:line="240" w:lineRule="auto"/>
        <w:rPr>
          <w:rFonts w:eastAsia="Times New Roman" w:cstheme="minorHAnsi"/>
        </w:rPr>
      </w:pPr>
      <w:r w:rsidRPr="003C3CB2">
        <w:rPr>
          <w:rFonts w:eastAsia="Times New Roman" w:cstheme="minorHAnsi"/>
        </w:rPr>
        <w:t xml:space="preserve">Presentation Abstract Submission Forms must be completed and </w:t>
      </w:r>
      <w:r w:rsidRPr="003C3CB2">
        <w:rPr>
          <w:rFonts w:eastAsia="Times New Roman" w:cstheme="minorHAnsi"/>
          <w:b/>
        </w:rPr>
        <w:t xml:space="preserve">submitted by 11:59 p.m. Eastern Standard Time on </w:t>
      </w:r>
      <w:r w:rsidR="00966E11" w:rsidRPr="006A6097">
        <w:rPr>
          <w:rFonts w:eastAsia="Times New Roman" w:cstheme="minorHAnsi"/>
          <w:b/>
          <w:color w:val="C00000"/>
        </w:rPr>
        <w:t>May</w:t>
      </w:r>
      <w:r w:rsidR="00966E11" w:rsidRPr="003C3CB2">
        <w:rPr>
          <w:rFonts w:eastAsia="Times New Roman" w:cstheme="minorHAnsi"/>
          <w:b/>
        </w:rPr>
        <w:t xml:space="preserve"> </w:t>
      </w:r>
      <w:r w:rsidR="00966E11" w:rsidRPr="006A6097">
        <w:rPr>
          <w:rFonts w:eastAsia="Times New Roman" w:cstheme="minorHAnsi"/>
          <w:b/>
          <w:strike/>
        </w:rPr>
        <w:t>3</w:t>
      </w:r>
      <w:r w:rsidR="006A6097">
        <w:rPr>
          <w:rFonts w:eastAsia="Times New Roman" w:cstheme="minorHAnsi"/>
          <w:b/>
        </w:rPr>
        <w:t xml:space="preserve"> </w:t>
      </w:r>
      <w:r w:rsidR="006A6097" w:rsidRPr="006A6097">
        <w:rPr>
          <w:rFonts w:eastAsia="Times New Roman" w:cstheme="minorHAnsi"/>
          <w:b/>
          <w:color w:val="C00000"/>
        </w:rPr>
        <w:t>31</w:t>
      </w:r>
      <w:r w:rsidR="00966E11" w:rsidRPr="003C3CB2">
        <w:rPr>
          <w:rFonts w:eastAsia="Times New Roman" w:cstheme="minorHAnsi"/>
          <w:b/>
        </w:rPr>
        <w:t xml:space="preserve">, </w:t>
      </w:r>
      <w:r w:rsidR="00966E11" w:rsidRPr="006A6097">
        <w:rPr>
          <w:rFonts w:eastAsia="Times New Roman" w:cstheme="minorHAnsi"/>
          <w:b/>
          <w:color w:val="C00000"/>
        </w:rPr>
        <w:t>2019</w:t>
      </w:r>
      <w:r w:rsidRPr="003C3CB2">
        <w:rPr>
          <w:rFonts w:eastAsia="Times New Roman" w:cstheme="minorHAnsi"/>
        </w:rPr>
        <w:t xml:space="preserve">.  To submit an abstract, visit </w:t>
      </w:r>
      <w:hyperlink r:id="rId8" w:history="1">
        <w:r w:rsidR="00966E11" w:rsidRPr="003C3CB2">
          <w:rPr>
            <w:rStyle w:val="Hyperlink"/>
            <w:rFonts w:eastAsia="Times New Roman" w:cstheme="minorHAnsi"/>
            <w:b/>
            <w:color w:val="auto"/>
          </w:rPr>
          <w:t>http://www.fedcenter.gov/fes2019</w:t>
        </w:r>
      </w:hyperlink>
      <w:r w:rsidR="00966E11" w:rsidRPr="003C3CB2">
        <w:rPr>
          <w:rFonts w:eastAsia="Times New Roman" w:cstheme="minorHAnsi"/>
        </w:rPr>
        <w:t xml:space="preserve">. </w:t>
      </w:r>
    </w:p>
    <w:p w:rsidR="00EA3F04" w:rsidRPr="003C3CB2" w:rsidRDefault="00EA3F04" w:rsidP="003C3CB2">
      <w:pPr>
        <w:spacing w:after="0" w:line="240" w:lineRule="auto"/>
        <w:rPr>
          <w:rFonts w:eastAsia="Times New Roman" w:cstheme="minorHAnsi"/>
        </w:rPr>
      </w:pPr>
    </w:p>
    <w:p w:rsidR="00EA3F04" w:rsidRPr="00701D79" w:rsidRDefault="00C315B8" w:rsidP="003C3CB2">
      <w:pPr>
        <w:spacing w:after="0" w:line="240" w:lineRule="auto"/>
        <w:rPr>
          <w:rFonts w:eastAsia="Times New Roman" w:cstheme="minorHAnsi"/>
        </w:rPr>
      </w:pPr>
      <w:r>
        <w:rPr>
          <w:rFonts w:eastAsia="Times New Roman" w:cstheme="minorHAnsi"/>
        </w:rPr>
        <w:t>A</w:t>
      </w:r>
      <w:r w:rsidR="00EA3F04" w:rsidRPr="003C3CB2">
        <w:rPr>
          <w:rFonts w:eastAsia="Times New Roman" w:cstheme="minorHAnsi"/>
        </w:rPr>
        <w:t xml:space="preserve"> sub-committee of the Federal Environmental Symposi</w:t>
      </w:r>
      <w:r w:rsidR="00701D79" w:rsidRPr="003C3CB2">
        <w:rPr>
          <w:rFonts w:eastAsia="Times New Roman" w:cstheme="minorHAnsi"/>
        </w:rPr>
        <w:t>um</w:t>
      </w:r>
      <w:r w:rsidR="00EA3F04" w:rsidRPr="003C3CB2">
        <w:rPr>
          <w:rFonts w:eastAsia="Times New Roman" w:cstheme="minorHAnsi"/>
        </w:rPr>
        <w:t xml:space="preserve"> Planning Committee will evaluate all submissions based upon the submitter’s demonstration of expert knowledge and applicability to the 2019 Federal Environmental Symposium Presentation Category selected on the Submission Form. The Committees will notify all submitters of their status beginning Monday, </w:t>
      </w:r>
      <w:r w:rsidR="003C3CB2" w:rsidRPr="006A6097">
        <w:rPr>
          <w:rFonts w:eastAsia="Times New Roman" w:cstheme="minorHAnsi"/>
          <w:color w:val="C00000"/>
        </w:rPr>
        <w:t>June</w:t>
      </w:r>
      <w:r w:rsidR="003C3CB2" w:rsidRPr="003C3CB2">
        <w:rPr>
          <w:rFonts w:eastAsia="Times New Roman" w:cstheme="minorHAnsi"/>
        </w:rPr>
        <w:t xml:space="preserve"> </w:t>
      </w:r>
      <w:r w:rsidR="003C3CB2" w:rsidRPr="006A6097">
        <w:rPr>
          <w:rFonts w:eastAsia="Times New Roman" w:cstheme="minorHAnsi"/>
          <w:strike/>
        </w:rPr>
        <w:t>3</w:t>
      </w:r>
      <w:r w:rsidR="006A6097">
        <w:rPr>
          <w:rFonts w:eastAsia="Times New Roman" w:cstheme="minorHAnsi"/>
        </w:rPr>
        <w:t xml:space="preserve"> </w:t>
      </w:r>
      <w:r w:rsidR="006A6097" w:rsidRPr="006A6097">
        <w:rPr>
          <w:rFonts w:eastAsia="Times New Roman" w:cstheme="minorHAnsi"/>
          <w:color w:val="C00000"/>
        </w:rPr>
        <w:t>17</w:t>
      </w:r>
      <w:r w:rsidR="003C3CB2" w:rsidRPr="003C3CB2">
        <w:rPr>
          <w:rFonts w:eastAsia="Times New Roman" w:cstheme="minorHAnsi"/>
        </w:rPr>
        <w:t xml:space="preserve">, </w:t>
      </w:r>
      <w:r w:rsidR="003C3CB2" w:rsidRPr="006A6097">
        <w:rPr>
          <w:rFonts w:eastAsia="Times New Roman" w:cstheme="minorHAnsi"/>
          <w:color w:val="C00000"/>
        </w:rPr>
        <w:t>2019</w:t>
      </w:r>
      <w:r w:rsidR="00EA3F04" w:rsidRPr="003C3CB2">
        <w:rPr>
          <w:rFonts w:eastAsia="Times New Roman" w:cstheme="minorHAnsi"/>
        </w:rPr>
        <w:t xml:space="preserve">.  Selected presenters will be asked to verify their availability for the Symposium no later than Friday, </w:t>
      </w:r>
      <w:r w:rsidR="003C3CB2" w:rsidRPr="006A6097">
        <w:rPr>
          <w:rFonts w:eastAsia="Times New Roman" w:cstheme="minorHAnsi"/>
          <w:color w:val="C00000"/>
        </w:rPr>
        <w:t>June</w:t>
      </w:r>
      <w:r w:rsidR="003C3CB2" w:rsidRPr="003C3CB2">
        <w:rPr>
          <w:rFonts w:eastAsia="Times New Roman" w:cstheme="minorHAnsi"/>
        </w:rPr>
        <w:t xml:space="preserve"> </w:t>
      </w:r>
      <w:r w:rsidR="003C3CB2" w:rsidRPr="006A6097">
        <w:rPr>
          <w:rFonts w:eastAsia="Times New Roman" w:cstheme="minorHAnsi"/>
          <w:strike/>
        </w:rPr>
        <w:t>7</w:t>
      </w:r>
      <w:r w:rsidR="006A6097">
        <w:rPr>
          <w:rFonts w:eastAsia="Times New Roman" w:cstheme="minorHAnsi"/>
        </w:rPr>
        <w:t xml:space="preserve"> </w:t>
      </w:r>
      <w:r w:rsidR="006A6097" w:rsidRPr="006A6097">
        <w:rPr>
          <w:rFonts w:eastAsia="Times New Roman" w:cstheme="minorHAnsi"/>
          <w:color w:val="C00000"/>
        </w:rPr>
        <w:t>21</w:t>
      </w:r>
      <w:r w:rsidR="00EA3F04" w:rsidRPr="003C3CB2">
        <w:rPr>
          <w:rFonts w:eastAsia="Times New Roman" w:cstheme="minorHAnsi"/>
        </w:rPr>
        <w:t xml:space="preserve">, </w:t>
      </w:r>
      <w:r w:rsidR="00EA3F04" w:rsidRPr="006A6097">
        <w:rPr>
          <w:rFonts w:eastAsia="Times New Roman" w:cstheme="minorHAnsi"/>
          <w:color w:val="C00000"/>
        </w:rPr>
        <w:t>20</w:t>
      </w:r>
      <w:r w:rsidR="003C3CB2" w:rsidRPr="006A6097">
        <w:rPr>
          <w:rFonts w:eastAsia="Times New Roman" w:cstheme="minorHAnsi"/>
          <w:color w:val="C00000"/>
        </w:rPr>
        <w:t>1</w:t>
      </w:r>
      <w:r w:rsidR="00EA3F04" w:rsidRPr="006A6097">
        <w:rPr>
          <w:rFonts w:eastAsia="Times New Roman" w:cstheme="minorHAnsi"/>
          <w:color w:val="C00000"/>
        </w:rPr>
        <w:t>9</w:t>
      </w:r>
      <w:r w:rsidR="00EA3F04" w:rsidRPr="003C3CB2">
        <w:rPr>
          <w:rFonts w:eastAsia="Times New Roman" w:cstheme="minorHAnsi"/>
        </w:rPr>
        <w:t>.</w:t>
      </w:r>
      <w:r w:rsidR="001E3B68">
        <w:rPr>
          <w:rFonts w:eastAsia="Times New Roman" w:cstheme="minorHAnsi"/>
        </w:rPr>
        <w:t xml:space="preserve"> If your abstract is approved, the deadline to submit your full presentation (via FedCenter) is September 3, 2019.</w:t>
      </w:r>
    </w:p>
    <w:p w:rsidR="00EA3F04" w:rsidRPr="00701D79" w:rsidRDefault="00EA3F04" w:rsidP="00EA3F04">
      <w:pPr>
        <w:spacing w:after="0" w:line="240" w:lineRule="auto"/>
        <w:jc w:val="both"/>
        <w:rPr>
          <w:rFonts w:eastAsia="Times New Roman" w:cstheme="minorHAnsi"/>
          <w:b/>
        </w:rPr>
      </w:pPr>
    </w:p>
    <w:p w:rsidR="00EA3F04" w:rsidRPr="00701D79" w:rsidRDefault="00EA3F04" w:rsidP="00EA3F04">
      <w:pPr>
        <w:spacing w:after="0" w:line="240" w:lineRule="auto"/>
        <w:jc w:val="both"/>
        <w:rPr>
          <w:rFonts w:eastAsia="Times New Roman" w:cstheme="minorHAnsi"/>
          <w:b/>
        </w:rPr>
      </w:pPr>
    </w:p>
    <w:p w:rsidR="00EA3F04" w:rsidRPr="00701D79" w:rsidRDefault="00EA3F04" w:rsidP="003C3CB2">
      <w:pPr>
        <w:spacing w:after="0" w:line="240" w:lineRule="auto"/>
        <w:rPr>
          <w:rFonts w:eastAsia="Times New Roman" w:cstheme="minorHAnsi"/>
        </w:rPr>
      </w:pPr>
      <w:r w:rsidRPr="00701D79">
        <w:rPr>
          <w:rFonts w:eastAsia="Times New Roman" w:cstheme="minorHAnsi"/>
          <w:b/>
          <w:u w:val="single"/>
        </w:rPr>
        <w:t>PRESENTER GUIDELINES</w:t>
      </w:r>
    </w:p>
    <w:p w:rsidR="00EA3F04" w:rsidRPr="00701D79" w:rsidRDefault="00EA3F04" w:rsidP="003C3CB2">
      <w:pPr>
        <w:spacing w:after="0" w:line="240" w:lineRule="auto"/>
        <w:rPr>
          <w:rFonts w:eastAsia="Times New Roman" w:cstheme="minorHAnsi"/>
        </w:rPr>
      </w:pPr>
    </w:p>
    <w:p w:rsidR="00EA3F04" w:rsidRPr="00701D79" w:rsidRDefault="00EA3F04" w:rsidP="003C3CB2">
      <w:pPr>
        <w:spacing w:after="0" w:line="240" w:lineRule="auto"/>
        <w:rPr>
          <w:rFonts w:eastAsia="Times New Roman" w:cstheme="minorHAnsi"/>
        </w:rPr>
      </w:pPr>
      <w:r w:rsidRPr="00701D79">
        <w:rPr>
          <w:rFonts w:eastAsia="Times New Roman" w:cstheme="minorHAnsi"/>
        </w:rPr>
        <w:t>The Symposium is focused solely on environmental and energy management as it pertains to Federal agency missions and Federal facility operations.  Those invited to present at the Symposium include:</w:t>
      </w:r>
    </w:p>
    <w:p w:rsidR="00EA3F04" w:rsidRPr="00701D79" w:rsidRDefault="00EA3F04" w:rsidP="003C3CB2">
      <w:pPr>
        <w:spacing w:after="0" w:line="240" w:lineRule="auto"/>
        <w:rPr>
          <w:rFonts w:eastAsia="Times New Roman" w:cstheme="minorHAnsi"/>
        </w:rPr>
      </w:pPr>
      <w:r w:rsidRPr="00701D79">
        <w:rPr>
          <w:rFonts w:eastAsia="Times New Roman" w:cstheme="minorHAnsi"/>
        </w:rPr>
        <w:t xml:space="preserve">  </w:t>
      </w:r>
    </w:p>
    <w:p w:rsidR="00EA3F04" w:rsidRPr="00701D79" w:rsidRDefault="00EA3F04" w:rsidP="003C3CB2">
      <w:pPr>
        <w:numPr>
          <w:ilvl w:val="0"/>
          <w:numId w:val="3"/>
        </w:numPr>
        <w:spacing w:after="0" w:line="240" w:lineRule="auto"/>
        <w:rPr>
          <w:rFonts w:eastAsia="Times New Roman" w:cstheme="minorHAnsi"/>
        </w:rPr>
      </w:pPr>
      <w:r w:rsidRPr="00701D79">
        <w:rPr>
          <w:rFonts w:eastAsia="Times New Roman" w:cstheme="minorHAnsi"/>
        </w:rPr>
        <w:t>Federal employees</w:t>
      </w:r>
    </w:p>
    <w:p w:rsidR="00EA3F04" w:rsidRPr="00701D79" w:rsidRDefault="00EA3F04" w:rsidP="003C3CB2">
      <w:pPr>
        <w:numPr>
          <w:ilvl w:val="0"/>
          <w:numId w:val="3"/>
        </w:numPr>
        <w:spacing w:after="0" w:line="240" w:lineRule="auto"/>
        <w:rPr>
          <w:rFonts w:eastAsia="Times New Roman" w:cstheme="minorHAnsi"/>
        </w:rPr>
      </w:pPr>
      <w:r w:rsidRPr="00701D79">
        <w:rPr>
          <w:rFonts w:eastAsia="Times New Roman" w:cstheme="minorHAnsi"/>
        </w:rPr>
        <w:t xml:space="preserve">Contractors serving in direct support roles to Federal agencies (and presenting topics solely related to these functions)  </w:t>
      </w:r>
    </w:p>
    <w:p w:rsidR="00EA3F04" w:rsidRPr="00701D79" w:rsidRDefault="00EA3F04" w:rsidP="003C3CB2">
      <w:pPr>
        <w:numPr>
          <w:ilvl w:val="0"/>
          <w:numId w:val="3"/>
        </w:numPr>
        <w:spacing w:after="0" w:line="240" w:lineRule="auto"/>
        <w:rPr>
          <w:rFonts w:eastAsia="Times New Roman" w:cstheme="minorHAnsi"/>
        </w:rPr>
      </w:pPr>
      <w:r w:rsidRPr="00701D79">
        <w:rPr>
          <w:rFonts w:eastAsia="Times New Roman" w:cstheme="minorHAnsi"/>
        </w:rPr>
        <w:t>State and local government</w:t>
      </w:r>
    </w:p>
    <w:p w:rsidR="00EA3F04" w:rsidRDefault="00EA3F04" w:rsidP="003C3CB2">
      <w:pPr>
        <w:numPr>
          <w:ilvl w:val="0"/>
          <w:numId w:val="3"/>
        </w:numPr>
        <w:spacing w:after="0" w:line="240" w:lineRule="auto"/>
        <w:rPr>
          <w:rFonts w:eastAsia="Times New Roman" w:cstheme="minorHAnsi"/>
        </w:rPr>
      </w:pPr>
      <w:r w:rsidRPr="00701D79">
        <w:rPr>
          <w:rFonts w:eastAsia="Times New Roman" w:cstheme="minorHAnsi"/>
        </w:rPr>
        <w:t xml:space="preserve">Industry and academia working on Federally-focused projects or participating in Federal partnerships (and presenting topics solely related to these functions) </w:t>
      </w:r>
    </w:p>
    <w:p w:rsidR="008252CC" w:rsidRDefault="008252CC" w:rsidP="008252CC">
      <w:pPr>
        <w:spacing w:after="0" w:line="240" w:lineRule="auto"/>
        <w:rPr>
          <w:rFonts w:eastAsia="Times New Roman" w:cstheme="minorHAnsi"/>
        </w:rPr>
      </w:pPr>
    </w:p>
    <w:p w:rsidR="008252CC" w:rsidRPr="00701D79" w:rsidRDefault="008252CC" w:rsidP="008252CC">
      <w:pPr>
        <w:spacing w:after="0" w:line="240" w:lineRule="auto"/>
        <w:rPr>
          <w:rFonts w:eastAsia="Times New Roman" w:cstheme="minorHAnsi"/>
        </w:rPr>
      </w:pPr>
      <w:r>
        <w:rPr>
          <w:rFonts w:eastAsia="Times New Roman" w:cstheme="minorHAnsi"/>
        </w:rPr>
        <w:t>Non-federal personnel who submit an abstract will be asked to provide a link to the agency, program or partnership they are directly supporting.</w:t>
      </w:r>
    </w:p>
    <w:p w:rsidR="00EA3F04" w:rsidRPr="00701D79" w:rsidRDefault="00EA3F04" w:rsidP="003C3CB2">
      <w:pPr>
        <w:spacing w:after="0" w:line="240" w:lineRule="auto"/>
        <w:ind w:left="720"/>
        <w:rPr>
          <w:rFonts w:eastAsia="Times New Roman" w:cstheme="minorHAnsi"/>
        </w:rPr>
      </w:pPr>
    </w:p>
    <w:p w:rsidR="00EA3F04" w:rsidRDefault="00EA3F04" w:rsidP="003C3CB2">
      <w:pPr>
        <w:spacing w:after="0" w:line="240" w:lineRule="auto"/>
        <w:rPr>
          <w:rFonts w:eastAsia="Times New Roman" w:cstheme="minorHAnsi"/>
        </w:rPr>
      </w:pPr>
    </w:p>
    <w:p w:rsidR="00EA3F04" w:rsidRPr="00701D79" w:rsidRDefault="00EA3F04" w:rsidP="003C3CB2">
      <w:pPr>
        <w:spacing w:after="0" w:line="240" w:lineRule="auto"/>
        <w:rPr>
          <w:rFonts w:eastAsia="Times New Roman" w:cstheme="minorHAnsi"/>
        </w:rPr>
      </w:pPr>
      <w:r w:rsidRPr="00701D79">
        <w:rPr>
          <w:rFonts w:eastAsia="Times New Roman" w:cstheme="minorHAnsi"/>
          <w:b/>
          <w:u w:val="single"/>
        </w:rPr>
        <w:t>PRESENTATION FORMATS</w:t>
      </w:r>
    </w:p>
    <w:p w:rsidR="00EA3F04" w:rsidRPr="00701D79" w:rsidRDefault="00EA3F04" w:rsidP="003C3CB2">
      <w:pPr>
        <w:spacing w:after="0" w:line="240" w:lineRule="auto"/>
        <w:rPr>
          <w:rFonts w:eastAsia="Times New Roman" w:cstheme="minorHAnsi"/>
        </w:rPr>
      </w:pPr>
    </w:p>
    <w:p w:rsidR="00EA3F04" w:rsidRPr="00701D79" w:rsidRDefault="00EA3F04" w:rsidP="003C3CB2">
      <w:pPr>
        <w:spacing w:after="0" w:line="240" w:lineRule="auto"/>
        <w:rPr>
          <w:rFonts w:eastAsia="Times New Roman" w:cstheme="minorHAnsi"/>
        </w:rPr>
      </w:pPr>
      <w:r w:rsidRPr="00701D79">
        <w:rPr>
          <w:rFonts w:eastAsia="Times New Roman" w:cstheme="minorHAnsi"/>
        </w:rPr>
        <w:t>The various format choices below are intended to provide presenters flexibility in how to deliver their topics while allowing Symposium planners the ability to logically group presentations together into 90-minute session blocks.</w:t>
      </w:r>
    </w:p>
    <w:p w:rsidR="00EA3F04" w:rsidRPr="00701D79" w:rsidRDefault="00EA3F04" w:rsidP="003C3CB2">
      <w:pPr>
        <w:spacing w:after="0" w:line="240" w:lineRule="auto"/>
        <w:rPr>
          <w:rFonts w:eastAsia="Times New Roman" w:cstheme="minorHAnsi"/>
        </w:rPr>
      </w:pPr>
    </w:p>
    <w:p w:rsidR="00EA3F04" w:rsidRPr="00701D79" w:rsidRDefault="00EA3F04" w:rsidP="003C3CB2">
      <w:pPr>
        <w:spacing w:after="0" w:line="240" w:lineRule="auto"/>
        <w:ind w:firstLine="360"/>
        <w:rPr>
          <w:rFonts w:eastAsia="Times New Roman" w:cstheme="minorHAnsi"/>
        </w:rPr>
      </w:pPr>
      <w:r w:rsidRPr="00701D79">
        <w:rPr>
          <w:rFonts w:eastAsia="Times New Roman" w:cstheme="minorHAnsi"/>
          <w:b/>
        </w:rPr>
        <w:t>30-Minute Presentation</w:t>
      </w:r>
    </w:p>
    <w:p w:rsidR="00EA3F04" w:rsidRPr="00701D79" w:rsidRDefault="00EA3F04" w:rsidP="003C3CB2">
      <w:pPr>
        <w:spacing w:after="0" w:line="240" w:lineRule="auto"/>
        <w:ind w:left="360"/>
        <w:rPr>
          <w:rFonts w:eastAsia="Times New Roman" w:cstheme="minorHAnsi"/>
        </w:rPr>
      </w:pPr>
      <w:r w:rsidRPr="00701D79">
        <w:rPr>
          <w:rFonts w:eastAsia="Times New Roman" w:cstheme="minorHAnsi"/>
        </w:rPr>
        <w:t xml:space="preserve">This is the typical presentation format, usually involving remarks with slides and may involve one or more presenters.  The presenter(s) has more opportunity to discuss a broader topic, a more complex topic, and/or provide more background info.  Plan for 20-25 minutes of presentation, with 5-10 minutes of questions, for a combined maximum of 30 minutes.  </w:t>
      </w:r>
    </w:p>
    <w:p w:rsidR="00EA3F04" w:rsidRPr="00701D79" w:rsidRDefault="00EA3F04" w:rsidP="003C3CB2">
      <w:pPr>
        <w:spacing w:after="0" w:line="240" w:lineRule="auto"/>
        <w:rPr>
          <w:rFonts w:eastAsia="Times New Roman" w:cstheme="minorHAnsi"/>
        </w:rPr>
      </w:pPr>
    </w:p>
    <w:p w:rsidR="00EA3F04" w:rsidRPr="00701D79" w:rsidRDefault="00EA3F04" w:rsidP="003C3CB2">
      <w:pPr>
        <w:spacing w:after="0" w:line="240" w:lineRule="auto"/>
        <w:ind w:left="360"/>
        <w:rPr>
          <w:rFonts w:eastAsia="Times New Roman" w:cstheme="minorHAnsi"/>
          <w:b/>
        </w:rPr>
      </w:pPr>
      <w:r w:rsidRPr="00701D79">
        <w:rPr>
          <w:rFonts w:eastAsia="Times New Roman" w:cstheme="minorHAnsi"/>
          <w:b/>
        </w:rPr>
        <w:t>60-Minute Panel Discussion</w:t>
      </w:r>
    </w:p>
    <w:p w:rsidR="00EA3F04" w:rsidRPr="00701D79" w:rsidRDefault="00EA3F04" w:rsidP="003C3CB2">
      <w:pPr>
        <w:spacing w:after="0" w:line="240" w:lineRule="auto"/>
        <w:ind w:left="360"/>
        <w:rPr>
          <w:rFonts w:eastAsia="Times New Roman" w:cstheme="minorHAnsi"/>
        </w:rPr>
      </w:pPr>
      <w:r w:rsidRPr="00701D79">
        <w:rPr>
          <w:rFonts w:eastAsia="Times New Roman" w:cstheme="minorHAnsi"/>
        </w:rPr>
        <w:t xml:space="preserve">A panel discussion involves multiple presenters briefly describing their areas of focus and then using the majority of the time to field questions and generate discussion with the audience.  Multiple speakers must be proposed in the abstract submission.  </w:t>
      </w:r>
    </w:p>
    <w:p w:rsidR="00EA3F04" w:rsidRPr="00701D79" w:rsidRDefault="00EA3F04" w:rsidP="003C3CB2">
      <w:pPr>
        <w:spacing w:after="0" w:line="240" w:lineRule="auto"/>
        <w:rPr>
          <w:rFonts w:eastAsia="Times New Roman" w:cstheme="minorHAnsi"/>
          <w:b/>
        </w:rPr>
      </w:pPr>
    </w:p>
    <w:p w:rsidR="00EA3F04" w:rsidRPr="00701D79" w:rsidRDefault="00EA3F04" w:rsidP="003C3CB2">
      <w:pPr>
        <w:spacing w:after="0" w:line="240" w:lineRule="auto"/>
        <w:ind w:left="360"/>
        <w:rPr>
          <w:rFonts w:eastAsia="Times New Roman" w:cstheme="minorHAnsi"/>
        </w:rPr>
      </w:pPr>
      <w:r w:rsidRPr="00701D79">
        <w:rPr>
          <w:rFonts w:eastAsia="Times New Roman" w:cstheme="minorHAnsi"/>
          <w:b/>
        </w:rPr>
        <w:t>90-Minute Training Workshop</w:t>
      </w:r>
    </w:p>
    <w:p w:rsidR="00EA3F04" w:rsidRPr="00701D79" w:rsidRDefault="00440419" w:rsidP="003C3CB2">
      <w:pPr>
        <w:spacing w:after="0" w:line="240" w:lineRule="auto"/>
        <w:ind w:left="360"/>
        <w:rPr>
          <w:rFonts w:eastAsia="Times New Roman" w:cstheme="minorHAnsi"/>
        </w:rPr>
      </w:pPr>
      <w:r w:rsidRPr="00440419">
        <w:rPr>
          <w:rFonts w:eastAsia="Times New Roman" w:cstheme="minorHAnsi"/>
        </w:rPr>
        <w:t>This format delivers the topic using a “how-to” approach intended to provide the audience with a practical understanding of the topic along with new or improved skills.  It may involve step-by-step examples, participatory exercises, and/or other training techniques.  One or multiple speakers may be proposed in the abstract submission.</w:t>
      </w:r>
      <w:r>
        <w:rPr>
          <w:rFonts w:eastAsia="Times New Roman" w:cstheme="minorHAnsi"/>
        </w:rPr>
        <w:t xml:space="preserve">  </w:t>
      </w:r>
    </w:p>
    <w:p w:rsidR="00EA3F04" w:rsidRPr="00701D79" w:rsidRDefault="00EA3F04" w:rsidP="003C3CB2">
      <w:pPr>
        <w:spacing w:after="0" w:line="240" w:lineRule="auto"/>
        <w:rPr>
          <w:rFonts w:eastAsia="Times New Roman" w:cstheme="minorHAnsi"/>
        </w:rPr>
      </w:pPr>
    </w:p>
    <w:p w:rsidR="00EA3F04" w:rsidRPr="00701D79" w:rsidRDefault="00EA3F04" w:rsidP="003C3CB2">
      <w:pPr>
        <w:spacing w:after="0" w:line="240" w:lineRule="auto"/>
        <w:rPr>
          <w:rFonts w:eastAsia="Times New Roman" w:cstheme="minorHAnsi"/>
          <w:b/>
        </w:rPr>
      </w:pPr>
    </w:p>
    <w:p w:rsidR="00EA3F04" w:rsidRPr="00701D79" w:rsidRDefault="00EA3F04" w:rsidP="003C3CB2">
      <w:pPr>
        <w:spacing w:after="0" w:line="240" w:lineRule="auto"/>
        <w:rPr>
          <w:rFonts w:eastAsia="Times New Roman" w:cstheme="minorHAnsi"/>
          <w:b/>
          <w:u w:val="single"/>
        </w:rPr>
      </w:pPr>
      <w:r w:rsidRPr="00701D79">
        <w:rPr>
          <w:rFonts w:eastAsia="Times New Roman" w:cstheme="minorHAnsi"/>
          <w:b/>
          <w:u w:val="single"/>
        </w:rPr>
        <w:t>EVALUATION GUIDELINES</w:t>
      </w:r>
    </w:p>
    <w:p w:rsidR="00EA3F04" w:rsidRPr="00701D79" w:rsidRDefault="00EA3F04" w:rsidP="003C3CB2">
      <w:pPr>
        <w:spacing w:after="0" w:line="240" w:lineRule="auto"/>
        <w:rPr>
          <w:rFonts w:eastAsia="Times New Roman" w:cstheme="minorHAnsi"/>
          <w:b/>
          <w:u w:val="single"/>
        </w:rPr>
      </w:pPr>
    </w:p>
    <w:p w:rsidR="00EA3F04" w:rsidRPr="00701D79" w:rsidRDefault="00EA3F04" w:rsidP="003C3CB2">
      <w:pPr>
        <w:pStyle w:val="ListParagraph"/>
        <w:numPr>
          <w:ilvl w:val="0"/>
          <w:numId w:val="17"/>
        </w:numPr>
        <w:spacing w:after="0" w:line="240" w:lineRule="auto"/>
        <w:rPr>
          <w:rFonts w:eastAsia="Times New Roman" w:cstheme="minorHAnsi"/>
        </w:rPr>
      </w:pPr>
      <w:r w:rsidRPr="00701D79">
        <w:rPr>
          <w:rFonts w:eastAsia="Times New Roman" w:cstheme="minorHAnsi"/>
        </w:rPr>
        <w:t>The proposed presentation is of interest or benefit to the Federal community.</w:t>
      </w:r>
    </w:p>
    <w:p w:rsidR="00EA3F04" w:rsidRPr="00701D79" w:rsidRDefault="00EA3F04" w:rsidP="003C3CB2">
      <w:pPr>
        <w:pStyle w:val="ListParagraph"/>
        <w:numPr>
          <w:ilvl w:val="0"/>
          <w:numId w:val="17"/>
        </w:numPr>
        <w:spacing w:after="0" w:line="240" w:lineRule="auto"/>
        <w:rPr>
          <w:rFonts w:eastAsia="Times New Roman" w:cstheme="minorHAnsi"/>
        </w:rPr>
      </w:pPr>
      <w:r w:rsidRPr="00701D79">
        <w:rPr>
          <w:rFonts w:eastAsia="Times New Roman" w:cstheme="minorHAnsi"/>
        </w:rPr>
        <w:t>The presentation is not a topic of political sensitivity.</w:t>
      </w:r>
    </w:p>
    <w:p w:rsidR="00EA3F04" w:rsidRPr="00701D79" w:rsidRDefault="00EA3F04" w:rsidP="003C3CB2">
      <w:pPr>
        <w:pStyle w:val="ListParagraph"/>
        <w:numPr>
          <w:ilvl w:val="0"/>
          <w:numId w:val="17"/>
        </w:numPr>
        <w:spacing w:after="0" w:line="240" w:lineRule="auto"/>
        <w:rPr>
          <w:rFonts w:eastAsia="Times New Roman" w:cstheme="minorHAnsi"/>
        </w:rPr>
      </w:pPr>
      <w:r w:rsidRPr="00701D79">
        <w:rPr>
          <w:rFonts w:eastAsia="Times New Roman" w:cstheme="minorHAnsi"/>
        </w:rPr>
        <w:t>The presentation show case an achievement in an</w:t>
      </w:r>
      <w:r w:rsidR="00701D79">
        <w:rPr>
          <w:rFonts w:eastAsia="Times New Roman" w:cstheme="minorHAnsi"/>
        </w:rPr>
        <w:t>y of the above-mentioned tracks</w:t>
      </w:r>
      <w:r w:rsidRPr="00701D79">
        <w:rPr>
          <w:rFonts w:eastAsia="Times New Roman" w:cstheme="minorHAnsi"/>
        </w:rPr>
        <w:t xml:space="preserve"> that can be replicated in another facility.</w:t>
      </w:r>
    </w:p>
    <w:p w:rsidR="00EA3F04" w:rsidRPr="00701D79" w:rsidRDefault="00EA3F04" w:rsidP="003C3CB2">
      <w:pPr>
        <w:pStyle w:val="ListParagraph"/>
        <w:numPr>
          <w:ilvl w:val="0"/>
          <w:numId w:val="17"/>
        </w:numPr>
        <w:spacing w:after="0" w:line="240" w:lineRule="auto"/>
        <w:rPr>
          <w:rFonts w:eastAsia="Times New Roman" w:cstheme="minorHAnsi"/>
        </w:rPr>
      </w:pPr>
      <w:r w:rsidRPr="00701D79">
        <w:rPr>
          <w:rFonts w:eastAsia="Times New Roman" w:cstheme="minorHAnsi"/>
        </w:rPr>
        <w:t xml:space="preserve">Promote presentations related to this year theme.  </w:t>
      </w:r>
    </w:p>
    <w:p w:rsidR="00EA3F04" w:rsidRPr="00701D79" w:rsidRDefault="00EA3F04" w:rsidP="003C3CB2">
      <w:pPr>
        <w:pStyle w:val="ListParagraph"/>
        <w:numPr>
          <w:ilvl w:val="0"/>
          <w:numId w:val="17"/>
        </w:numPr>
        <w:spacing w:after="0" w:line="240" w:lineRule="auto"/>
        <w:rPr>
          <w:rFonts w:eastAsia="Times New Roman" w:cstheme="minorHAnsi"/>
        </w:rPr>
      </w:pPr>
      <w:r w:rsidRPr="00701D79">
        <w:rPr>
          <w:rFonts w:eastAsia="Times New Roman" w:cstheme="minorHAnsi"/>
        </w:rPr>
        <w:t>If the presentation is too long, can the speaker addres</w:t>
      </w:r>
      <w:r w:rsidR="00701D79">
        <w:rPr>
          <w:rFonts w:eastAsia="Times New Roman" w:cstheme="minorHAnsi"/>
        </w:rPr>
        <w:t>s the topic in 30 to 40 minutes?</w:t>
      </w:r>
    </w:p>
    <w:p w:rsidR="00EA3F04" w:rsidRPr="00701D79" w:rsidRDefault="00EA3F04" w:rsidP="003C3CB2">
      <w:pPr>
        <w:pStyle w:val="ListParagraph"/>
        <w:numPr>
          <w:ilvl w:val="0"/>
          <w:numId w:val="17"/>
        </w:numPr>
        <w:spacing w:after="0" w:line="240" w:lineRule="auto"/>
        <w:rPr>
          <w:rFonts w:eastAsia="Times New Roman" w:cstheme="minorHAnsi"/>
        </w:rPr>
      </w:pPr>
      <w:r w:rsidRPr="00701D79">
        <w:rPr>
          <w:rFonts w:eastAsia="Times New Roman" w:cstheme="minorHAnsi"/>
        </w:rPr>
        <w:t xml:space="preserve">Facility and State speakers should have priorities. </w:t>
      </w:r>
    </w:p>
    <w:p w:rsidR="00EA3F04" w:rsidRPr="00701D79" w:rsidRDefault="00EA3F04" w:rsidP="003C3CB2">
      <w:pPr>
        <w:pStyle w:val="ListParagraph"/>
        <w:numPr>
          <w:ilvl w:val="0"/>
          <w:numId w:val="17"/>
        </w:numPr>
        <w:spacing w:after="0" w:line="240" w:lineRule="auto"/>
        <w:rPr>
          <w:rFonts w:eastAsia="Times New Roman" w:cstheme="minorHAnsi"/>
        </w:rPr>
      </w:pPr>
      <w:r w:rsidRPr="00701D79">
        <w:rPr>
          <w:rFonts w:eastAsia="Times New Roman" w:cstheme="minorHAnsi"/>
        </w:rPr>
        <w:t>Can the presenter cover their own travel expenses; the Committee will not sponsor speakers?</w:t>
      </w:r>
    </w:p>
    <w:p w:rsidR="00EA3F04" w:rsidRPr="00701D79" w:rsidRDefault="00EA3F04" w:rsidP="003C3CB2">
      <w:pPr>
        <w:spacing w:after="0" w:line="240" w:lineRule="auto"/>
        <w:rPr>
          <w:rFonts w:eastAsia="Times New Roman" w:cstheme="minorHAnsi"/>
        </w:rPr>
      </w:pPr>
    </w:p>
    <w:p w:rsidR="00EA3F04" w:rsidRPr="00701D79" w:rsidRDefault="00EA3F04" w:rsidP="003C3CB2">
      <w:pPr>
        <w:spacing w:after="0" w:line="240" w:lineRule="auto"/>
        <w:rPr>
          <w:rFonts w:eastAsia="Times New Roman" w:cstheme="minorHAnsi"/>
        </w:rPr>
      </w:pPr>
    </w:p>
    <w:p w:rsidR="00EA3F04" w:rsidRPr="00701D79" w:rsidRDefault="00EA3F04" w:rsidP="003C3CB2">
      <w:pPr>
        <w:spacing w:after="0" w:line="240" w:lineRule="auto"/>
        <w:rPr>
          <w:rFonts w:eastAsia="Times New Roman" w:cstheme="minorHAnsi"/>
        </w:rPr>
      </w:pPr>
      <w:r w:rsidRPr="00701D79">
        <w:rPr>
          <w:rFonts w:eastAsia="Times New Roman" w:cstheme="minorHAnsi"/>
          <w:b/>
          <w:u w:val="single"/>
        </w:rPr>
        <w:t>PRESENTATION CATEGORIES</w:t>
      </w:r>
    </w:p>
    <w:p w:rsidR="00EA3F04" w:rsidRPr="00701D79" w:rsidRDefault="00EA3F04" w:rsidP="003C3CB2">
      <w:pPr>
        <w:spacing w:after="0" w:line="240" w:lineRule="auto"/>
        <w:rPr>
          <w:rFonts w:eastAsia="Times New Roman" w:cstheme="minorHAnsi"/>
        </w:rPr>
      </w:pPr>
    </w:p>
    <w:p w:rsidR="00EA3F04" w:rsidRPr="00701D79" w:rsidRDefault="00EA3F04" w:rsidP="003C3CB2">
      <w:pPr>
        <w:spacing w:after="0" w:line="240" w:lineRule="auto"/>
        <w:rPr>
          <w:rFonts w:eastAsia="Times New Roman" w:cstheme="minorHAnsi"/>
        </w:rPr>
      </w:pPr>
      <w:r w:rsidRPr="00701D79">
        <w:rPr>
          <w:rFonts w:eastAsia="Times New Roman" w:cstheme="minorHAnsi"/>
        </w:rPr>
        <w:t xml:space="preserve">The categories below will form the tracks of this year’s </w:t>
      </w:r>
      <w:r w:rsidR="00701D79">
        <w:rPr>
          <w:rFonts w:eastAsia="Times New Roman" w:cstheme="minorHAnsi"/>
        </w:rPr>
        <w:t>Symposium</w:t>
      </w:r>
      <w:r w:rsidRPr="00701D79">
        <w:rPr>
          <w:rFonts w:eastAsia="Times New Roman" w:cstheme="minorHAnsi"/>
        </w:rPr>
        <w:t xml:space="preserve">.  </w:t>
      </w:r>
    </w:p>
    <w:p w:rsidR="00EA3F04" w:rsidRPr="00701D79" w:rsidRDefault="00EA3F04" w:rsidP="003C3CB2">
      <w:pPr>
        <w:spacing w:after="0" w:line="240" w:lineRule="auto"/>
        <w:rPr>
          <w:rFonts w:eastAsia="Times New Roman" w:cstheme="minorHAnsi"/>
        </w:rPr>
      </w:pPr>
    </w:p>
    <w:p w:rsidR="00EA3F04" w:rsidRDefault="00EA3F04" w:rsidP="003C3CB2">
      <w:pPr>
        <w:spacing w:after="0" w:line="240" w:lineRule="auto"/>
        <w:rPr>
          <w:rFonts w:eastAsia="Times New Roman" w:cstheme="minorHAnsi"/>
          <w:u w:val="single"/>
        </w:rPr>
      </w:pPr>
      <w:r w:rsidRPr="00701D79">
        <w:rPr>
          <w:rFonts w:eastAsia="Times New Roman" w:cstheme="minorHAnsi"/>
        </w:rPr>
        <w:t xml:space="preserve">Under each category are many examples of various topics you may consider presenting.  </w:t>
      </w:r>
      <w:r w:rsidRPr="00701D79">
        <w:rPr>
          <w:rFonts w:eastAsia="Times New Roman" w:cstheme="minorHAnsi"/>
          <w:b/>
          <w:u w:val="single"/>
        </w:rPr>
        <w:t>Your presentation proposals are by no means limited to these examples; they are provided merely to show areas of high interest among the Federal community.  We will welcome and consider all proposed topics!</w:t>
      </w:r>
      <w:r w:rsidRPr="00701D79">
        <w:rPr>
          <w:rFonts w:eastAsia="Times New Roman" w:cstheme="minorHAnsi"/>
          <w:u w:val="single"/>
        </w:rPr>
        <w:t xml:space="preserve"> </w:t>
      </w:r>
    </w:p>
    <w:p w:rsidR="00C315B8" w:rsidRDefault="00C315B8" w:rsidP="003C3CB2">
      <w:pPr>
        <w:spacing w:after="0" w:line="240" w:lineRule="auto"/>
        <w:rPr>
          <w:rFonts w:eastAsia="Times New Roman" w:cstheme="minorHAnsi"/>
          <w:u w:val="single"/>
        </w:rPr>
      </w:pPr>
    </w:p>
    <w:p w:rsidR="00E158C2" w:rsidRDefault="00E158C2" w:rsidP="003C3CB2">
      <w:pPr>
        <w:spacing w:after="0" w:line="240" w:lineRule="auto"/>
        <w:ind w:left="360"/>
        <w:rPr>
          <w:rFonts w:eastAsia="Times New Roman" w:cstheme="minorHAnsi"/>
          <w:b/>
        </w:rPr>
      </w:pPr>
    </w:p>
    <w:p w:rsidR="00E158C2" w:rsidRDefault="00E158C2" w:rsidP="003C3CB2">
      <w:pPr>
        <w:spacing w:after="0" w:line="240" w:lineRule="auto"/>
        <w:ind w:left="360"/>
        <w:rPr>
          <w:rFonts w:eastAsia="Times New Roman" w:cstheme="minorHAnsi"/>
          <w:b/>
        </w:rPr>
      </w:pPr>
    </w:p>
    <w:p w:rsidR="00E158C2" w:rsidRDefault="00E158C2" w:rsidP="003C3CB2">
      <w:pPr>
        <w:spacing w:after="0" w:line="240" w:lineRule="auto"/>
        <w:ind w:left="360"/>
        <w:rPr>
          <w:rFonts w:eastAsia="Times New Roman" w:cstheme="minorHAnsi"/>
          <w:b/>
        </w:rPr>
      </w:pPr>
    </w:p>
    <w:p w:rsidR="00E158C2" w:rsidRDefault="00E158C2" w:rsidP="003C3CB2">
      <w:pPr>
        <w:spacing w:after="0" w:line="240" w:lineRule="auto"/>
        <w:ind w:left="360"/>
        <w:rPr>
          <w:rFonts w:eastAsia="Times New Roman" w:cstheme="minorHAnsi"/>
          <w:b/>
        </w:rPr>
      </w:pPr>
    </w:p>
    <w:p w:rsidR="00C315B8" w:rsidRPr="00701D79" w:rsidRDefault="00EA3F04" w:rsidP="003C3CB2">
      <w:pPr>
        <w:spacing w:after="0" w:line="240" w:lineRule="auto"/>
        <w:ind w:left="360"/>
        <w:rPr>
          <w:rFonts w:eastAsia="Times New Roman" w:cstheme="minorHAnsi"/>
          <w:b/>
        </w:rPr>
      </w:pPr>
      <w:r w:rsidRPr="00701D79">
        <w:rPr>
          <w:rFonts w:eastAsia="Times New Roman" w:cstheme="minorHAnsi"/>
          <w:b/>
        </w:rPr>
        <w:lastRenderedPageBreak/>
        <w:t>Environmental Management Systems</w:t>
      </w:r>
    </w:p>
    <w:p w:rsidR="00EA3F04" w:rsidRPr="00701D79" w:rsidRDefault="00EA3F04" w:rsidP="003C3CB2">
      <w:pPr>
        <w:numPr>
          <w:ilvl w:val="0"/>
          <w:numId w:val="4"/>
        </w:numPr>
        <w:spacing w:after="0" w:line="240" w:lineRule="auto"/>
        <w:rPr>
          <w:rFonts w:eastAsia="Times New Roman" w:cstheme="minorHAnsi"/>
        </w:rPr>
      </w:pPr>
      <w:r w:rsidRPr="00701D79">
        <w:rPr>
          <w:rFonts w:eastAsia="Times New Roman" w:cstheme="minorHAnsi"/>
        </w:rPr>
        <w:t xml:space="preserve">Using EMS to meet the goals of EO </w:t>
      </w:r>
      <w:r w:rsidR="00701D79">
        <w:rPr>
          <w:rFonts w:eastAsia="Times New Roman" w:cstheme="minorHAnsi"/>
        </w:rPr>
        <w:t>13834</w:t>
      </w:r>
    </w:p>
    <w:p w:rsidR="00EA3F04" w:rsidRPr="00701D79" w:rsidRDefault="00EA3F04" w:rsidP="003C3CB2">
      <w:pPr>
        <w:numPr>
          <w:ilvl w:val="0"/>
          <w:numId w:val="4"/>
        </w:numPr>
        <w:spacing w:after="0" w:line="240" w:lineRule="auto"/>
        <w:rPr>
          <w:rFonts w:eastAsia="Times New Roman" w:cstheme="minorHAnsi"/>
        </w:rPr>
      </w:pPr>
      <w:r w:rsidRPr="00701D79">
        <w:rPr>
          <w:rFonts w:eastAsia="Times New Roman" w:cstheme="minorHAnsi"/>
        </w:rPr>
        <w:t>EMS metrics and guidance</w:t>
      </w:r>
    </w:p>
    <w:p w:rsidR="00EA3F04" w:rsidRPr="00701D79" w:rsidRDefault="00EA3F04" w:rsidP="003C3CB2">
      <w:pPr>
        <w:numPr>
          <w:ilvl w:val="0"/>
          <w:numId w:val="4"/>
        </w:numPr>
        <w:spacing w:after="0" w:line="240" w:lineRule="auto"/>
        <w:rPr>
          <w:rFonts w:eastAsia="Times New Roman" w:cstheme="minorHAnsi"/>
        </w:rPr>
      </w:pPr>
      <w:r w:rsidRPr="00701D79">
        <w:rPr>
          <w:rFonts w:eastAsia="Times New Roman" w:cstheme="minorHAnsi"/>
        </w:rPr>
        <w:t>Targeted EMS success stories</w:t>
      </w:r>
    </w:p>
    <w:p w:rsidR="00EA3F04" w:rsidRPr="00701D79" w:rsidRDefault="00EA3F04" w:rsidP="003C3CB2">
      <w:pPr>
        <w:numPr>
          <w:ilvl w:val="0"/>
          <w:numId w:val="4"/>
        </w:numPr>
        <w:spacing w:after="0" w:line="240" w:lineRule="auto"/>
        <w:rPr>
          <w:rFonts w:eastAsia="Times New Roman" w:cstheme="minorHAnsi"/>
        </w:rPr>
      </w:pPr>
      <w:r w:rsidRPr="00701D79">
        <w:rPr>
          <w:rFonts w:eastAsia="Times New Roman" w:cstheme="minorHAnsi"/>
        </w:rPr>
        <w:t>Implementing higher tier/multi-site EMS’s</w:t>
      </w:r>
    </w:p>
    <w:p w:rsidR="00EA3F04" w:rsidRPr="00701D79" w:rsidRDefault="00EA3F04" w:rsidP="003C3CB2">
      <w:pPr>
        <w:numPr>
          <w:ilvl w:val="0"/>
          <w:numId w:val="4"/>
        </w:numPr>
        <w:spacing w:after="0" w:line="240" w:lineRule="auto"/>
        <w:rPr>
          <w:rFonts w:eastAsia="Times New Roman" w:cstheme="minorHAnsi"/>
        </w:rPr>
      </w:pPr>
      <w:r w:rsidRPr="00701D79">
        <w:rPr>
          <w:rFonts w:eastAsia="Times New Roman" w:cstheme="minorHAnsi"/>
        </w:rPr>
        <w:t>Implementing EMS at leased facilities</w:t>
      </w:r>
    </w:p>
    <w:p w:rsidR="00EA3F04" w:rsidRPr="00701D79" w:rsidRDefault="00EA3F04" w:rsidP="003C3CB2">
      <w:pPr>
        <w:numPr>
          <w:ilvl w:val="0"/>
          <w:numId w:val="4"/>
        </w:numPr>
        <w:spacing w:after="0" w:line="240" w:lineRule="auto"/>
        <w:rPr>
          <w:rFonts w:eastAsia="Times New Roman" w:cstheme="minorHAnsi"/>
        </w:rPr>
      </w:pPr>
      <w:r w:rsidRPr="00701D79">
        <w:rPr>
          <w:rFonts w:eastAsia="Times New Roman" w:cstheme="minorHAnsi"/>
        </w:rPr>
        <w:t>Incorporating sustainable practices into EMS</w:t>
      </w:r>
    </w:p>
    <w:p w:rsidR="00EA3F04" w:rsidRPr="00701D79" w:rsidRDefault="00EA3F04" w:rsidP="003C3CB2">
      <w:pPr>
        <w:numPr>
          <w:ilvl w:val="0"/>
          <w:numId w:val="4"/>
        </w:numPr>
        <w:spacing w:after="0" w:line="240" w:lineRule="auto"/>
        <w:rPr>
          <w:rFonts w:eastAsia="Times New Roman" w:cstheme="minorHAnsi"/>
        </w:rPr>
      </w:pPr>
      <w:r w:rsidRPr="00701D79">
        <w:rPr>
          <w:rFonts w:eastAsia="Times New Roman" w:cstheme="minorHAnsi"/>
        </w:rPr>
        <w:t>Integrated Environmental and Health and Safety Systems</w:t>
      </w:r>
    </w:p>
    <w:p w:rsidR="00EA3F04" w:rsidRPr="00701D79" w:rsidRDefault="00EA3F04" w:rsidP="003C3CB2">
      <w:pPr>
        <w:spacing w:after="0" w:line="240" w:lineRule="auto"/>
        <w:rPr>
          <w:rFonts w:eastAsia="Times New Roman" w:cstheme="minorHAnsi"/>
        </w:rPr>
      </w:pPr>
    </w:p>
    <w:p w:rsidR="00E264CC" w:rsidRDefault="004E1105" w:rsidP="003C3CB2">
      <w:pPr>
        <w:spacing w:after="0" w:line="240" w:lineRule="auto"/>
        <w:ind w:left="360"/>
        <w:rPr>
          <w:rFonts w:eastAsia="Times New Roman" w:cstheme="minorHAnsi"/>
          <w:b/>
        </w:rPr>
      </w:pPr>
      <w:r w:rsidRPr="00701D79">
        <w:rPr>
          <w:rFonts w:eastAsia="Times New Roman" w:cstheme="minorHAnsi"/>
          <w:b/>
        </w:rPr>
        <w:t>Environmental Compliance</w:t>
      </w:r>
    </w:p>
    <w:p w:rsidR="000673DE" w:rsidRPr="000673DE" w:rsidRDefault="000673DE" w:rsidP="000673DE">
      <w:pPr>
        <w:pStyle w:val="ListParagraph"/>
        <w:numPr>
          <w:ilvl w:val="0"/>
          <w:numId w:val="20"/>
        </w:numPr>
        <w:spacing w:after="0" w:line="240" w:lineRule="auto"/>
        <w:rPr>
          <w:rFonts w:eastAsia="Times New Roman" w:cstheme="minorHAnsi"/>
        </w:rPr>
      </w:pPr>
      <w:bookmarkStart w:id="1" w:name="_Hlk3539304"/>
      <w:r w:rsidRPr="000673DE">
        <w:rPr>
          <w:rFonts w:eastAsia="Times New Roman" w:cstheme="minorHAnsi"/>
        </w:rPr>
        <w:t>Pharmaceutical new rule</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Hazardous Waste Generator Improvements Rule</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Lead-based Paint</w:t>
      </w:r>
    </w:p>
    <w:p w:rsidR="000673DE" w:rsidRPr="000673DE" w:rsidRDefault="000673DE" w:rsidP="000673DE">
      <w:pPr>
        <w:pStyle w:val="ListParagraph"/>
        <w:numPr>
          <w:ilvl w:val="0"/>
          <w:numId w:val="20"/>
        </w:numPr>
        <w:spacing w:after="0" w:line="240" w:lineRule="auto"/>
        <w:rPr>
          <w:rFonts w:eastAsia="Times New Roman" w:cstheme="minorHAnsi"/>
        </w:rPr>
      </w:pPr>
      <w:r>
        <w:rPr>
          <w:rFonts w:eastAsia="Times New Roman" w:cstheme="minorHAnsi"/>
        </w:rPr>
        <w:t xml:space="preserve">Clean Water Act </w:t>
      </w:r>
      <w:r w:rsidRPr="000673DE">
        <w:rPr>
          <w:rFonts w:eastAsia="Times New Roman" w:cstheme="minorHAnsi"/>
        </w:rPr>
        <w:t>NPDES Significant Noncompliance (SNC)</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Stormwater</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Emergency generators—Reciprocating Internal Combustion Engine New Emission Standards Hazardous Air Pollutant (RICE NESHAP) Rule</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Air emissions management—including Air Emission Inventories and data/records management</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Seasonal drinking water systems</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Universal wastes</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 xml:space="preserve">Spill Prevention Control and Countermeasure (SPCC) plans </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Federal facilities and   Emergency Planning and Community Right-to-Know Act (EPCRA)</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Revised Section 608 Refrigerant Management Regulations</w:t>
      </w:r>
    </w:p>
    <w:p w:rsidR="000673DE" w:rsidRPr="000673DE" w:rsidRDefault="000673DE" w:rsidP="000673DE">
      <w:pPr>
        <w:pStyle w:val="ListParagraph"/>
        <w:numPr>
          <w:ilvl w:val="0"/>
          <w:numId w:val="20"/>
        </w:numPr>
        <w:spacing w:after="0" w:line="240" w:lineRule="auto"/>
        <w:rPr>
          <w:rFonts w:eastAsia="Times New Roman" w:cstheme="minorHAnsi"/>
        </w:rPr>
      </w:pPr>
      <w:r w:rsidRPr="000673DE">
        <w:rPr>
          <w:rFonts w:eastAsia="Times New Roman" w:cstheme="minorHAnsi"/>
        </w:rPr>
        <w:t>Hazardous Waste Electronic Manifest System (E-Manifesting)</w:t>
      </w:r>
    </w:p>
    <w:p w:rsidR="00634345" w:rsidRPr="003F791F" w:rsidRDefault="00BE37BF" w:rsidP="003F791F">
      <w:pPr>
        <w:pStyle w:val="ListParagraph"/>
        <w:numPr>
          <w:ilvl w:val="0"/>
          <w:numId w:val="20"/>
        </w:numPr>
        <w:spacing w:after="0" w:line="240" w:lineRule="auto"/>
        <w:rPr>
          <w:rFonts w:eastAsia="Times New Roman" w:cstheme="minorHAnsi"/>
          <w:b/>
        </w:rPr>
      </w:pPr>
      <w:r>
        <w:rPr>
          <w:rFonts w:eastAsia="Times New Roman" w:cstheme="minorHAnsi"/>
        </w:rPr>
        <w:t xml:space="preserve">What is </w:t>
      </w:r>
      <w:r w:rsidR="00634345">
        <w:rPr>
          <w:rFonts w:eastAsia="Times New Roman" w:cstheme="minorHAnsi"/>
        </w:rPr>
        <w:t>ECHO</w:t>
      </w:r>
      <w:r>
        <w:rPr>
          <w:rFonts w:eastAsia="Times New Roman" w:cstheme="minorHAnsi"/>
        </w:rPr>
        <w:t>?</w:t>
      </w:r>
    </w:p>
    <w:bookmarkEnd w:id="1"/>
    <w:p w:rsidR="003F791F" w:rsidRPr="003F791F" w:rsidRDefault="003F791F" w:rsidP="003F791F">
      <w:pPr>
        <w:spacing w:after="0" w:line="240" w:lineRule="auto"/>
        <w:rPr>
          <w:rFonts w:eastAsia="Times New Roman" w:cstheme="minorHAnsi"/>
          <w:b/>
        </w:rPr>
      </w:pPr>
    </w:p>
    <w:p w:rsidR="00E264CC" w:rsidRDefault="004E1105" w:rsidP="003C3CB2">
      <w:pPr>
        <w:spacing w:after="0" w:line="240" w:lineRule="auto"/>
        <w:ind w:left="360"/>
        <w:rPr>
          <w:rFonts w:eastAsia="Times New Roman" w:cstheme="minorHAnsi"/>
          <w:b/>
        </w:rPr>
      </w:pPr>
      <w:r w:rsidRPr="00701D79">
        <w:rPr>
          <w:rFonts w:eastAsia="Times New Roman" w:cstheme="minorHAnsi"/>
          <w:b/>
        </w:rPr>
        <w:t>Protecting Our Watersheds</w:t>
      </w:r>
    </w:p>
    <w:p w:rsidR="000673DE" w:rsidRPr="007C5604" w:rsidRDefault="000673DE" w:rsidP="000673DE">
      <w:pPr>
        <w:pStyle w:val="ListParagraph"/>
        <w:numPr>
          <w:ilvl w:val="0"/>
          <w:numId w:val="18"/>
        </w:numPr>
        <w:rPr>
          <w:rFonts w:eastAsia="Times New Roman" w:cstheme="minorHAnsi"/>
        </w:rPr>
      </w:pPr>
      <w:r w:rsidRPr="007C5604">
        <w:rPr>
          <w:rFonts w:eastAsia="Times New Roman" w:cstheme="minorHAnsi"/>
        </w:rPr>
        <w:t xml:space="preserve">Implementation strategies to meet the Maryland NPDES General Municipal Separate Storm Sewer System (MS4) permit restoration goal on </w:t>
      </w:r>
      <w:r w:rsidR="00BE37BF">
        <w:rPr>
          <w:rFonts w:eastAsia="Times New Roman" w:cstheme="minorHAnsi"/>
        </w:rPr>
        <w:t>F</w:t>
      </w:r>
      <w:r w:rsidRPr="007C5604">
        <w:rPr>
          <w:rFonts w:eastAsia="Times New Roman" w:cstheme="minorHAnsi"/>
        </w:rPr>
        <w:t xml:space="preserve">ederal facilities </w:t>
      </w:r>
    </w:p>
    <w:p w:rsidR="00E33786" w:rsidRPr="007C5604" w:rsidRDefault="00BE37BF" w:rsidP="00E33786">
      <w:pPr>
        <w:pStyle w:val="ListParagraph"/>
        <w:numPr>
          <w:ilvl w:val="0"/>
          <w:numId w:val="18"/>
        </w:numPr>
        <w:spacing w:after="0" w:line="240" w:lineRule="auto"/>
        <w:rPr>
          <w:rFonts w:eastAsia="Times New Roman" w:cstheme="minorHAnsi"/>
        </w:rPr>
      </w:pPr>
      <w:r w:rsidRPr="00BE37BF">
        <w:rPr>
          <w:rFonts w:eastAsia="Times New Roman" w:cstheme="minorHAnsi"/>
        </w:rPr>
        <w:t>Total Maximum Daily Load (TMDL) Program</w:t>
      </w:r>
      <w:r w:rsidR="00E33786" w:rsidRPr="007C5604">
        <w:rPr>
          <w:rFonts w:eastAsia="Times New Roman" w:cstheme="minorHAnsi"/>
        </w:rPr>
        <w:t xml:space="preserve"> </w:t>
      </w:r>
    </w:p>
    <w:p w:rsidR="00E33786" w:rsidRPr="007C5604" w:rsidRDefault="00E33786" w:rsidP="00E33786">
      <w:pPr>
        <w:pStyle w:val="ListParagraph"/>
        <w:numPr>
          <w:ilvl w:val="0"/>
          <w:numId w:val="18"/>
        </w:numPr>
        <w:spacing w:after="0" w:line="240" w:lineRule="auto"/>
        <w:rPr>
          <w:rFonts w:eastAsia="Times New Roman" w:cstheme="minorHAnsi"/>
        </w:rPr>
      </w:pPr>
      <w:r w:rsidRPr="007C5604">
        <w:rPr>
          <w:rFonts w:eastAsia="Times New Roman" w:cstheme="minorHAnsi"/>
        </w:rPr>
        <w:t>Chesapeake Bay – protection efforts, recent improvements / current condition, regulatory assistance, etc.</w:t>
      </w:r>
    </w:p>
    <w:p w:rsidR="00E33786" w:rsidRPr="007C5604" w:rsidRDefault="00E33786" w:rsidP="00E33786">
      <w:pPr>
        <w:pStyle w:val="ListParagraph"/>
        <w:numPr>
          <w:ilvl w:val="0"/>
          <w:numId w:val="18"/>
        </w:numPr>
        <w:spacing w:after="0" w:line="240" w:lineRule="auto"/>
        <w:rPr>
          <w:rFonts w:eastAsia="Times New Roman" w:cstheme="minorHAnsi"/>
        </w:rPr>
      </w:pPr>
      <w:r w:rsidRPr="007C5604">
        <w:rPr>
          <w:rFonts w:eastAsia="Times New Roman" w:cstheme="minorHAnsi"/>
        </w:rPr>
        <w:t xml:space="preserve">Local Stream Restoration (for facilities that has an on-campus stream) </w:t>
      </w:r>
    </w:p>
    <w:p w:rsidR="00E33786" w:rsidRPr="007C5604" w:rsidRDefault="00E33786" w:rsidP="00E33786">
      <w:pPr>
        <w:pStyle w:val="ListParagraph"/>
        <w:numPr>
          <w:ilvl w:val="0"/>
          <w:numId w:val="18"/>
        </w:numPr>
        <w:spacing w:after="0" w:line="240" w:lineRule="auto"/>
        <w:rPr>
          <w:rFonts w:eastAsia="Times New Roman" w:cstheme="minorHAnsi"/>
        </w:rPr>
      </w:pPr>
      <w:r w:rsidRPr="007C5604">
        <w:rPr>
          <w:rFonts w:eastAsia="Times New Roman" w:cstheme="minorHAnsi"/>
        </w:rPr>
        <w:t xml:space="preserve">Waste Discharge Initiatives – Prevent chemical waste discharges to sanitary </w:t>
      </w:r>
    </w:p>
    <w:p w:rsidR="00E33786" w:rsidRPr="007C5604" w:rsidRDefault="00E33786" w:rsidP="00E33786">
      <w:pPr>
        <w:pStyle w:val="ListParagraph"/>
        <w:numPr>
          <w:ilvl w:val="0"/>
          <w:numId w:val="18"/>
        </w:numPr>
        <w:spacing w:after="0" w:line="240" w:lineRule="auto"/>
        <w:rPr>
          <w:rFonts w:eastAsia="Times New Roman" w:cstheme="minorHAnsi"/>
        </w:rPr>
      </w:pPr>
      <w:r w:rsidRPr="007C5604">
        <w:rPr>
          <w:rFonts w:eastAsia="Times New Roman" w:cstheme="minorHAnsi"/>
        </w:rPr>
        <w:t xml:space="preserve">Pretreatment systems for sanitary or storm </w:t>
      </w:r>
    </w:p>
    <w:p w:rsidR="00E33786" w:rsidRPr="007C5604" w:rsidRDefault="00E33786" w:rsidP="00E33786">
      <w:pPr>
        <w:pStyle w:val="ListParagraph"/>
        <w:numPr>
          <w:ilvl w:val="0"/>
          <w:numId w:val="18"/>
        </w:numPr>
        <w:spacing w:after="0" w:line="240" w:lineRule="auto"/>
        <w:rPr>
          <w:rFonts w:eastAsia="Times New Roman" w:cstheme="minorHAnsi"/>
        </w:rPr>
      </w:pPr>
      <w:r w:rsidRPr="007C5604">
        <w:rPr>
          <w:rFonts w:eastAsia="Times New Roman" w:cstheme="minorHAnsi"/>
        </w:rPr>
        <w:t xml:space="preserve">Coordination with state and/or local government to protect watershed </w:t>
      </w:r>
    </w:p>
    <w:p w:rsidR="00E33786" w:rsidRPr="007C5604" w:rsidRDefault="00E33786" w:rsidP="00E33786">
      <w:pPr>
        <w:pStyle w:val="ListParagraph"/>
        <w:numPr>
          <w:ilvl w:val="0"/>
          <w:numId w:val="18"/>
        </w:numPr>
        <w:spacing w:after="0" w:line="240" w:lineRule="auto"/>
        <w:rPr>
          <w:rFonts w:eastAsia="Times New Roman" w:cstheme="minorHAnsi"/>
        </w:rPr>
      </w:pPr>
      <w:r w:rsidRPr="007C5604">
        <w:rPr>
          <w:rFonts w:eastAsia="Times New Roman" w:cstheme="minorHAnsi"/>
        </w:rPr>
        <w:t>Outreach activities to the federal community / employee</w:t>
      </w:r>
    </w:p>
    <w:p w:rsidR="00E33786" w:rsidRPr="007C5604" w:rsidRDefault="00E33786" w:rsidP="00E33786">
      <w:pPr>
        <w:pStyle w:val="ListParagraph"/>
        <w:numPr>
          <w:ilvl w:val="0"/>
          <w:numId w:val="18"/>
        </w:numPr>
        <w:spacing w:after="0" w:line="240" w:lineRule="auto"/>
        <w:rPr>
          <w:rFonts w:eastAsia="Times New Roman" w:cstheme="minorHAnsi"/>
        </w:rPr>
      </w:pPr>
      <w:r w:rsidRPr="007C5604">
        <w:rPr>
          <w:rFonts w:eastAsia="Times New Roman" w:cstheme="minorHAnsi"/>
        </w:rPr>
        <w:t xml:space="preserve">Reduced landscape maintenance – Adoption of No Mow Zone </w:t>
      </w:r>
    </w:p>
    <w:p w:rsidR="00E33786" w:rsidRPr="00E264CC" w:rsidRDefault="00E33786" w:rsidP="00E33786">
      <w:pPr>
        <w:pStyle w:val="ListParagraph"/>
        <w:spacing w:after="0" w:line="240" w:lineRule="auto"/>
        <w:ind w:left="1080"/>
        <w:rPr>
          <w:rFonts w:eastAsia="Times New Roman" w:cstheme="minorHAnsi"/>
          <w:b/>
          <w:highlight w:val="yellow"/>
        </w:rPr>
      </w:pPr>
    </w:p>
    <w:p w:rsidR="00EA3F04" w:rsidRPr="00701D79" w:rsidRDefault="004E1105" w:rsidP="003C3CB2">
      <w:pPr>
        <w:spacing w:after="0" w:line="240" w:lineRule="auto"/>
        <w:ind w:left="360"/>
        <w:rPr>
          <w:rFonts w:eastAsia="Times New Roman" w:cstheme="minorHAnsi"/>
        </w:rPr>
      </w:pPr>
      <w:bookmarkStart w:id="2" w:name="_Hlk3538398"/>
      <w:r w:rsidRPr="00701D79">
        <w:rPr>
          <w:rFonts w:eastAsia="Times New Roman" w:cstheme="minorHAnsi"/>
          <w:b/>
        </w:rPr>
        <w:t>Sustainability</w:t>
      </w:r>
    </w:p>
    <w:p w:rsidR="00D2056B" w:rsidRDefault="00595821" w:rsidP="003C3CB2">
      <w:pPr>
        <w:numPr>
          <w:ilvl w:val="0"/>
          <w:numId w:val="9"/>
        </w:numPr>
        <w:spacing w:after="0" w:line="240" w:lineRule="auto"/>
        <w:rPr>
          <w:rFonts w:eastAsia="Times New Roman" w:cstheme="minorHAnsi"/>
        </w:rPr>
      </w:pPr>
      <w:r>
        <w:rPr>
          <w:rFonts w:eastAsia="Times New Roman" w:cstheme="minorHAnsi"/>
        </w:rPr>
        <w:t xml:space="preserve">Sustainable </w:t>
      </w:r>
      <w:r w:rsidR="00E158C2">
        <w:rPr>
          <w:rFonts w:eastAsia="Times New Roman" w:cstheme="minorHAnsi"/>
        </w:rPr>
        <w:t>a</w:t>
      </w:r>
      <w:r w:rsidR="00D2056B">
        <w:rPr>
          <w:rFonts w:eastAsia="Times New Roman" w:cstheme="minorHAnsi"/>
        </w:rPr>
        <w:t xml:space="preserve">cquisition </w:t>
      </w:r>
    </w:p>
    <w:p w:rsidR="007A4B8C" w:rsidRDefault="007A4B8C" w:rsidP="003C3CB2">
      <w:pPr>
        <w:numPr>
          <w:ilvl w:val="0"/>
          <w:numId w:val="9"/>
        </w:numPr>
        <w:spacing w:after="0" w:line="240" w:lineRule="auto"/>
        <w:rPr>
          <w:rFonts w:eastAsia="Times New Roman" w:cstheme="minorHAnsi"/>
        </w:rPr>
      </w:pPr>
      <w:r w:rsidRPr="007A4B8C">
        <w:rPr>
          <w:rFonts w:eastAsia="Times New Roman" w:cstheme="minorHAnsi"/>
        </w:rPr>
        <w:t>Sustainability in the Laboratory Environment</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Greening existing buildings</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Greening existing leases/replacement leases</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Campus approach to sustainability</w:t>
      </w:r>
    </w:p>
    <w:p w:rsidR="00EA3F04" w:rsidRPr="00701D79" w:rsidRDefault="00634345" w:rsidP="003C3CB2">
      <w:pPr>
        <w:numPr>
          <w:ilvl w:val="0"/>
          <w:numId w:val="9"/>
        </w:numPr>
        <w:spacing w:after="0" w:line="240" w:lineRule="auto"/>
        <w:rPr>
          <w:rFonts w:eastAsia="Times New Roman" w:cstheme="minorHAnsi"/>
        </w:rPr>
      </w:pPr>
      <w:r>
        <w:rPr>
          <w:rFonts w:eastAsia="Times New Roman" w:cstheme="minorHAnsi"/>
        </w:rPr>
        <w:t>Incorporating sustainability into environmental and property asset m</w:t>
      </w:r>
      <w:r w:rsidR="00EA3F04" w:rsidRPr="00701D79">
        <w:rPr>
          <w:rFonts w:eastAsia="Times New Roman" w:cstheme="minorHAnsi"/>
        </w:rPr>
        <w:t>anagement</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Approaches to financing sustainability</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Measurement and tracking</w:t>
      </w:r>
      <w:r w:rsidR="007A4B8C">
        <w:rPr>
          <w:rFonts w:eastAsia="Times New Roman" w:cstheme="minorHAnsi"/>
        </w:rPr>
        <w:t xml:space="preserve"> </w:t>
      </w:r>
      <w:r w:rsidR="007A4B8C" w:rsidRPr="007A4B8C">
        <w:rPr>
          <w:rFonts w:eastAsia="Times New Roman" w:cstheme="minorHAnsi"/>
        </w:rPr>
        <w:t>gas emissions</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Sustainable building implementation plans</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lastRenderedPageBreak/>
        <w:t>Building and campus case studies</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Training and outreach</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Integrated design and delivery</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Purchasing environmentally preferable building materials and construction services</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Indoor environmental quality</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Low-impact development/stormwater management</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Sustainable siting</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Landscaping</w:t>
      </w:r>
    </w:p>
    <w:p w:rsidR="00EA3F04" w:rsidRPr="00701D79" w:rsidRDefault="00EA3F04" w:rsidP="003C3CB2">
      <w:pPr>
        <w:numPr>
          <w:ilvl w:val="0"/>
          <w:numId w:val="9"/>
        </w:numPr>
        <w:spacing w:after="0" w:line="240" w:lineRule="auto"/>
        <w:rPr>
          <w:rFonts w:eastAsia="Times New Roman" w:cstheme="minorHAnsi"/>
        </w:rPr>
      </w:pPr>
      <w:r w:rsidRPr="00701D79">
        <w:rPr>
          <w:rFonts w:eastAsia="Times New Roman" w:cstheme="minorHAnsi"/>
        </w:rPr>
        <w:t>Historic preservation</w:t>
      </w:r>
    </w:p>
    <w:bookmarkEnd w:id="2"/>
    <w:p w:rsidR="000451BE" w:rsidRPr="00701D79" w:rsidRDefault="000451BE" w:rsidP="00E158C2">
      <w:pPr>
        <w:spacing w:after="0" w:line="240" w:lineRule="auto"/>
        <w:rPr>
          <w:rFonts w:eastAsia="Times New Roman" w:cstheme="minorHAnsi"/>
        </w:rPr>
      </w:pPr>
    </w:p>
    <w:p w:rsidR="004E1105" w:rsidRPr="00701D79" w:rsidRDefault="004E1105" w:rsidP="003C3CB2">
      <w:pPr>
        <w:spacing w:after="0" w:line="240" w:lineRule="auto"/>
        <w:ind w:left="360"/>
        <w:rPr>
          <w:rFonts w:eastAsia="Times New Roman" w:cstheme="minorHAnsi"/>
          <w:b/>
        </w:rPr>
      </w:pPr>
      <w:bookmarkStart w:id="3" w:name="_Hlk3538319"/>
      <w:r w:rsidRPr="00701D79">
        <w:rPr>
          <w:rFonts w:eastAsia="Times New Roman" w:cstheme="minorHAnsi"/>
          <w:b/>
        </w:rPr>
        <w:t>Pollution Prevention and Waste Reduction</w:t>
      </w:r>
      <w:r w:rsidR="000451BE">
        <w:rPr>
          <w:rFonts w:eastAsia="Times New Roman" w:cstheme="minorHAnsi"/>
          <w:b/>
        </w:rPr>
        <w:t xml:space="preserve"> </w:t>
      </w:r>
    </w:p>
    <w:p w:rsidR="00EA3F04" w:rsidRPr="00701D79" w:rsidRDefault="00EA3F04" w:rsidP="003C3CB2">
      <w:pPr>
        <w:pStyle w:val="ListParagraph"/>
        <w:numPr>
          <w:ilvl w:val="0"/>
          <w:numId w:val="16"/>
        </w:numPr>
        <w:spacing w:after="0" w:line="240" w:lineRule="auto"/>
        <w:rPr>
          <w:rFonts w:eastAsia="Times New Roman" w:cstheme="minorHAnsi"/>
        </w:rPr>
      </w:pPr>
      <w:r w:rsidRPr="00701D79">
        <w:rPr>
          <w:rFonts w:eastAsia="Times New Roman" w:cstheme="minorHAnsi"/>
        </w:rPr>
        <w:t>Paperless processes</w:t>
      </w:r>
    </w:p>
    <w:p w:rsidR="006F0D6C" w:rsidRDefault="007A4B8C" w:rsidP="003C3CB2">
      <w:pPr>
        <w:numPr>
          <w:ilvl w:val="0"/>
          <w:numId w:val="5"/>
        </w:numPr>
        <w:spacing w:after="0" w:line="240" w:lineRule="auto"/>
        <w:rPr>
          <w:rFonts w:eastAsia="Times New Roman" w:cstheme="minorHAnsi"/>
        </w:rPr>
      </w:pPr>
      <w:r w:rsidRPr="006F0D6C">
        <w:rPr>
          <w:rFonts w:eastAsia="Times New Roman" w:cstheme="minorHAnsi"/>
        </w:rPr>
        <w:t>Laboratory recycling</w:t>
      </w:r>
    </w:p>
    <w:p w:rsidR="00EA3F04" w:rsidRPr="006F0D6C" w:rsidRDefault="00EA3F04" w:rsidP="003C3CB2">
      <w:pPr>
        <w:numPr>
          <w:ilvl w:val="0"/>
          <w:numId w:val="5"/>
        </w:numPr>
        <w:spacing w:after="0" w:line="240" w:lineRule="auto"/>
        <w:rPr>
          <w:rFonts w:eastAsia="Times New Roman" w:cstheme="minorHAnsi"/>
        </w:rPr>
      </w:pPr>
      <w:r w:rsidRPr="006F0D6C">
        <w:rPr>
          <w:rFonts w:eastAsia="Times New Roman" w:cstheme="minorHAnsi"/>
        </w:rPr>
        <w:t>Conducting green meetings and conferences</w:t>
      </w:r>
    </w:p>
    <w:p w:rsidR="00EA3F04" w:rsidRPr="00701D79" w:rsidRDefault="00EA3F04" w:rsidP="003C3CB2">
      <w:pPr>
        <w:numPr>
          <w:ilvl w:val="0"/>
          <w:numId w:val="5"/>
        </w:numPr>
        <w:spacing w:after="0" w:line="240" w:lineRule="auto"/>
        <w:rPr>
          <w:rFonts w:eastAsia="Times New Roman" w:cstheme="minorHAnsi"/>
        </w:rPr>
      </w:pPr>
      <w:r w:rsidRPr="00701D79">
        <w:rPr>
          <w:rFonts w:eastAsia="Times New Roman" w:cstheme="minorHAnsi"/>
        </w:rPr>
        <w:t>Toxic and hazardous substance reduction plans and programs</w:t>
      </w:r>
    </w:p>
    <w:p w:rsidR="00EA3F04" w:rsidRPr="00701D79" w:rsidRDefault="00EA3F04" w:rsidP="003C3CB2">
      <w:pPr>
        <w:numPr>
          <w:ilvl w:val="0"/>
          <w:numId w:val="5"/>
        </w:numPr>
        <w:spacing w:after="0" w:line="240" w:lineRule="auto"/>
        <w:rPr>
          <w:rFonts w:eastAsia="Times New Roman" w:cstheme="minorHAnsi"/>
        </w:rPr>
      </w:pPr>
      <w:r w:rsidRPr="00701D79">
        <w:rPr>
          <w:rFonts w:eastAsia="Times New Roman" w:cstheme="minorHAnsi"/>
        </w:rPr>
        <w:t>Chemical management and reduction plans and programs</w:t>
      </w:r>
    </w:p>
    <w:p w:rsidR="00EA3F04" w:rsidRPr="00701D79" w:rsidRDefault="00EA3F04" w:rsidP="003C3CB2">
      <w:pPr>
        <w:numPr>
          <w:ilvl w:val="0"/>
          <w:numId w:val="5"/>
        </w:numPr>
        <w:spacing w:after="0" w:line="240" w:lineRule="auto"/>
        <w:rPr>
          <w:rFonts w:eastAsia="Times New Roman" w:cstheme="minorHAnsi"/>
        </w:rPr>
      </w:pPr>
      <w:r w:rsidRPr="00701D79">
        <w:rPr>
          <w:rFonts w:eastAsia="Times New Roman" w:cstheme="minorHAnsi"/>
        </w:rPr>
        <w:t>Green chemistry</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Composting (food waste and landscape materials)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Recycling markets and effects on recycling programs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Local recycling laws/ordinances compliance and effects on facilities and programs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GSA recycling contracts, lease provisions for recycling, and other ways GSA can help set up recycling programs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Construction and demolition debris recycling/reuse including roofing materials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Obstacles to recycling</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Calculating Greenhouse Gas benefits from recycling activities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Recycling in difficult places (e.g., trains and other mobile locations)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Recycling in rural areas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EPA’s WasteWise program for federal facilities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Workplace recycling - expanding recycling programs beyond traditional office recyclables</w:t>
      </w:r>
    </w:p>
    <w:p w:rsidR="00EA3F04" w:rsidRPr="00701D79" w:rsidRDefault="00EA3F04" w:rsidP="003C3CB2">
      <w:pPr>
        <w:numPr>
          <w:ilvl w:val="0"/>
          <w:numId w:val="15"/>
        </w:numPr>
        <w:tabs>
          <w:tab w:val="num" w:pos="1080"/>
        </w:tabs>
        <w:spacing w:after="0" w:line="240" w:lineRule="auto"/>
        <w:ind w:left="1080"/>
        <w:rPr>
          <w:rFonts w:eastAsia="Times New Roman" w:cstheme="minorHAnsi"/>
        </w:rPr>
      </w:pPr>
      <w:r w:rsidRPr="00701D79">
        <w:rPr>
          <w:rFonts w:eastAsia="Times New Roman" w:cstheme="minorHAnsi"/>
        </w:rPr>
        <w:t>Recycling Containers and Signs that Work</w:t>
      </w:r>
    </w:p>
    <w:p w:rsidR="00EA3F04" w:rsidRPr="00701D79" w:rsidRDefault="00EA3F04" w:rsidP="003C3CB2">
      <w:pPr>
        <w:numPr>
          <w:ilvl w:val="0"/>
          <w:numId w:val="14"/>
        </w:numPr>
        <w:tabs>
          <w:tab w:val="num" w:pos="1080"/>
        </w:tabs>
        <w:spacing w:after="0" w:line="240" w:lineRule="auto"/>
        <w:ind w:left="1080"/>
        <w:rPr>
          <w:rFonts w:eastAsia="Times New Roman" w:cstheme="minorHAnsi"/>
        </w:rPr>
      </w:pPr>
      <w:r w:rsidRPr="00701D79">
        <w:rPr>
          <w:rFonts w:eastAsia="Times New Roman" w:cstheme="minorHAnsi"/>
        </w:rPr>
        <w:t xml:space="preserve">Meeting current </w:t>
      </w:r>
      <w:r w:rsidR="000673DE" w:rsidRPr="000673DE">
        <w:rPr>
          <w:rFonts w:eastAsia="Times New Roman" w:cstheme="minorHAnsi"/>
        </w:rPr>
        <w:t>Electronic Product Environmental Assessment Tool (EPEAT)</w:t>
      </w:r>
      <w:r w:rsidRPr="00701D79">
        <w:rPr>
          <w:rFonts w:eastAsia="Times New Roman" w:cstheme="minorHAnsi"/>
        </w:rPr>
        <w:t xml:space="preserve"> requirements and future EPEAT standards</w:t>
      </w:r>
    </w:p>
    <w:p w:rsidR="00EA3F04" w:rsidRPr="00701D79" w:rsidRDefault="00EA3F04" w:rsidP="003C3CB2">
      <w:pPr>
        <w:numPr>
          <w:ilvl w:val="0"/>
          <w:numId w:val="14"/>
        </w:numPr>
        <w:tabs>
          <w:tab w:val="num" w:pos="1080"/>
        </w:tabs>
        <w:spacing w:after="0" w:line="240" w:lineRule="auto"/>
        <w:ind w:left="1080"/>
        <w:rPr>
          <w:rFonts w:eastAsia="Times New Roman" w:cstheme="minorHAnsi"/>
        </w:rPr>
      </w:pPr>
      <w:r w:rsidRPr="00701D79">
        <w:rPr>
          <w:rFonts w:eastAsia="Times New Roman" w:cstheme="minorHAnsi"/>
        </w:rPr>
        <w:t>Power management programs and electronics energy use reduction strategies</w:t>
      </w:r>
    </w:p>
    <w:p w:rsidR="00EA3F04" w:rsidRPr="00701D79" w:rsidRDefault="00EA3F04" w:rsidP="003C3CB2">
      <w:pPr>
        <w:numPr>
          <w:ilvl w:val="0"/>
          <w:numId w:val="14"/>
        </w:numPr>
        <w:tabs>
          <w:tab w:val="num" w:pos="1080"/>
        </w:tabs>
        <w:spacing w:after="0" w:line="240" w:lineRule="auto"/>
        <w:ind w:left="1080"/>
        <w:rPr>
          <w:rFonts w:eastAsia="Times New Roman" w:cstheme="minorHAnsi"/>
        </w:rPr>
      </w:pPr>
      <w:r w:rsidRPr="00701D79">
        <w:rPr>
          <w:rFonts w:eastAsia="Times New Roman" w:cstheme="minorHAnsi"/>
        </w:rPr>
        <w:t xml:space="preserve">Extending the life of </w:t>
      </w:r>
      <w:r w:rsidR="000673DE" w:rsidRPr="000673DE">
        <w:rPr>
          <w:rFonts w:eastAsia="Times New Roman" w:cstheme="minorHAnsi"/>
        </w:rPr>
        <w:t>information technology (IT)</w:t>
      </w:r>
      <w:r w:rsidRPr="00701D79">
        <w:rPr>
          <w:rFonts w:eastAsia="Times New Roman" w:cstheme="minorHAnsi"/>
        </w:rPr>
        <w:t xml:space="preserve"> equipment and keeping pace with changes in technology</w:t>
      </w:r>
    </w:p>
    <w:p w:rsidR="00EA3F04" w:rsidRPr="00701D79" w:rsidRDefault="00EA3F04" w:rsidP="003C3CB2">
      <w:pPr>
        <w:numPr>
          <w:ilvl w:val="0"/>
          <w:numId w:val="14"/>
        </w:numPr>
        <w:tabs>
          <w:tab w:val="num" w:pos="1080"/>
        </w:tabs>
        <w:spacing w:after="0" w:line="240" w:lineRule="auto"/>
        <w:ind w:left="1080"/>
        <w:rPr>
          <w:rFonts w:eastAsia="Times New Roman" w:cstheme="minorHAnsi"/>
        </w:rPr>
      </w:pPr>
      <w:r w:rsidRPr="00701D79">
        <w:rPr>
          <w:rFonts w:eastAsia="Times New Roman" w:cstheme="minorHAnsi"/>
        </w:rPr>
        <w:t>Environmentally responsible electronics reuse and recycling</w:t>
      </w:r>
    </w:p>
    <w:p w:rsidR="00EA3F04" w:rsidRPr="00701D79" w:rsidRDefault="00EA3F04" w:rsidP="003C3CB2">
      <w:pPr>
        <w:numPr>
          <w:ilvl w:val="0"/>
          <w:numId w:val="14"/>
        </w:numPr>
        <w:tabs>
          <w:tab w:val="num" w:pos="1080"/>
        </w:tabs>
        <w:spacing w:after="0" w:line="240" w:lineRule="auto"/>
        <w:ind w:left="1080"/>
        <w:rPr>
          <w:rFonts w:eastAsia="Times New Roman" w:cstheme="minorHAnsi"/>
        </w:rPr>
      </w:pPr>
      <w:r w:rsidRPr="00701D79">
        <w:rPr>
          <w:rFonts w:eastAsia="Times New Roman" w:cstheme="minorHAnsi"/>
        </w:rPr>
        <w:t>Greening federal data centers</w:t>
      </w:r>
    </w:p>
    <w:p w:rsidR="00EA3F04" w:rsidRPr="00701D79" w:rsidRDefault="00EA3F04" w:rsidP="003C3CB2">
      <w:pPr>
        <w:numPr>
          <w:ilvl w:val="0"/>
          <w:numId w:val="14"/>
        </w:numPr>
        <w:tabs>
          <w:tab w:val="num" w:pos="1080"/>
        </w:tabs>
        <w:spacing w:after="0" w:line="240" w:lineRule="auto"/>
        <w:ind w:left="1080"/>
        <w:rPr>
          <w:rFonts w:eastAsia="Times New Roman" w:cstheme="minorHAnsi"/>
        </w:rPr>
      </w:pPr>
      <w:r w:rsidRPr="00701D79">
        <w:rPr>
          <w:rFonts w:eastAsia="Times New Roman" w:cstheme="minorHAnsi"/>
        </w:rPr>
        <w:t>IT asset and inventory management</w:t>
      </w:r>
    </w:p>
    <w:p w:rsidR="00EA3F04" w:rsidRPr="00701D79" w:rsidRDefault="00EA3F04" w:rsidP="003C3CB2">
      <w:pPr>
        <w:numPr>
          <w:ilvl w:val="0"/>
          <w:numId w:val="14"/>
        </w:numPr>
        <w:tabs>
          <w:tab w:val="num" w:pos="1080"/>
        </w:tabs>
        <w:spacing w:after="0" w:line="240" w:lineRule="auto"/>
        <w:ind w:left="1080"/>
        <w:rPr>
          <w:rFonts w:eastAsia="Times New Roman" w:cstheme="minorHAnsi"/>
        </w:rPr>
      </w:pPr>
      <w:r w:rsidRPr="00701D79">
        <w:rPr>
          <w:rFonts w:eastAsia="Times New Roman" w:cstheme="minorHAnsi"/>
        </w:rPr>
        <w:t>Ensuring data and media security while implementing green computing strategies</w:t>
      </w:r>
    </w:p>
    <w:p w:rsidR="00EA3F04" w:rsidRPr="00701D79" w:rsidRDefault="00EA3F04" w:rsidP="003C3CB2">
      <w:pPr>
        <w:numPr>
          <w:ilvl w:val="0"/>
          <w:numId w:val="14"/>
        </w:numPr>
        <w:tabs>
          <w:tab w:val="num" w:pos="1080"/>
        </w:tabs>
        <w:spacing w:after="0" w:line="240" w:lineRule="auto"/>
        <w:ind w:left="1080"/>
        <w:rPr>
          <w:rFonts w:eastAsia="Times New Roman" w:cstheme="minorHAnsi"/>
        </w:rPr>
      </w:pPr>
      <w:r w:rsidRPr="00701D79">
        <w:rPr>
          <w:rFonts w:eastAsia="Times New Roman" w:cstheme="minorHAnsi"/>
        </w:rPr>
        <w:t>Case studies from small and medium size facilities across the country</w:t>
      </w:r>
    </w:p>
    <w:p w:rsidR="00EA3F04" w:rsidRPr="00701D79" w:rsidRDefault="00EA3F04" w:rsidP="003C3CB2">
      <w:pPr>
        <w:numPr>
          <w:ilvl w:val="0"/>
          <w:numId w:val="14"/>
        </w:numPr>
        <w:tabs>
          <w:tab w:val="num" w:pos="1080"/>
        </w:tabs>
        <w:spacing w:after="0" w:line="240" w:lineRule="auto"/>
        <w:ind w:left="1080"/>
        <w:rPr>
          <w:rFonts w:eastAsia="Times New Roman" w:cstheme="minorHAnsi"/>
        </w:rPr>
      </w:pPr>
      <w:r w:rsidRPr="00701D79">
        <w:rPr>
          <w:rFonts w:eastAsia="Times New Roman" w:cstheme="minorHAnsi"/>
        </w:rPr>
        <w:t>Education and involvement of management at the facility and agency level</w:t>
      </w:r>
    </w:p>
    <w:p w:rsidR="00EA3F04" w:rsidRPr="00701D79" w:rsidRDefault="00EA3F04" w:rsidP="003C3CB2">
      <w:pPr>
        <w:numPr>
          <w:ilvl w:val="0"/>
          <w:numId w:val="11"/>
        </w:numPr>
        <w:tabs>
          <w:tab w:val="num" w:pos="1080"/>
        </w:tabs>
        <w:spacing w:after="0" w:line="240" w:lineRule="auto"/>
        <w:ind w:left="1080"/>
        <w:rPr>
          <w:rFonts w:eastAsia="Times New Roman" w:cstheme="minorHAnsi"/>
        </w:rPr>
      </w:pPr>
      <w:r w:rsidRPr="00701D79">
        <w:rPr>
          <w:rFonts w:eastAsia="Times New Roman" w:cstheme="minorHAnsi"/>
        </w:rPr>
        <w:t>GHG inventory development – EPA protocols and tools</w:t>
      </w:r>
    </w:p>
    <w:p w:rsidR="00EA3F04" w:rsidRPr="00701D79" w:rsidRDefault="00EA3F04" w:rsidP="003C3CB2">
      <w:pPr>
        <w:numPr>
          <w:ilvl w:val="0"/>
          <w:numId w:val="11"/>
        </w:numPr>
        <w:tabs>
          <w:tab w:val="num" w:pos="1080"/>
        </w:tabs>
        <w:spacing w:after="0" w:line="240" w:lineRule="auto"/>
        <w:ind w:left="1080"/>
        <w:rPr>
          <w:rFonts w:eastAsia="Times New Roman" w:cstheme="minorHAnsi"/>
        </w:rPr>
      </w:pPr>
      <w:r w:rsidRPr="00701D79">
        <w:rPr>
          <w:rFonts w:eastAsia="Times New Roman" w:cstheme="minorHAnsi"/>
        </w:rPr>
        <w:t>Inventory management – decision-making, reduction opportunities, and new reduction goals</w:t>
      </w:r>
    </w:p>
    <w:p w:rsidR="00EA3F04" w:rsidRPr="00701D79" w:rsidRDefault="00EA3F04" w:rsidP="003C3CB2">
      <w:pPr>
        <w:numPr>
          <w:ilvl w:val="0"/>
          <w:numId w:val="11"/>
        </w:numPr>
        <w:tabs>
          <w:tab w:val="num" w:pos="1080"/>
        </w:tabs>
        <w:spacing w:after="0" w:line="240" w:lineRule="auto"/>
        <w:ind w:left="1080"/>
        <w:rPr>
          <w:rFonts w:eastAsia="Times New Roman" w:cstheme="minorHAnsi"/>
        </w:rPr>
      </w:pPr>
      <w:r w:rsidRPr="00701D79">
        <w:rPr>
          <w:rFonts w:eastAsia="Times New Roman" w:cstheme="minorHAnsi"/>
        </w:rPr>
        <w:t xml:space="preserve">EPA’s “Outstanding” non-Federal Climate Leaders Case Studies </w:t>
      </w:r>
    </w:p>
    <w:p w:rsidR="00EA3F04" w:rsidRPr="00701D79" w:rsidRDefault="00EA3F04" w:rsidP="003C3CB2">
      <w:pPr>
        <w:numPr>
          <w:ilvl w:val="0"/>
          <w:numId w:val="11"/>
        </w:numPr>
        <w:tabs>
          <w:tab w:val="num" w:pos="1080"/>
        </w:tabs>
        <w:spacing w:after="0" w:line="240" w:lineRule="auto"/>
        <w:ind w:left="1080"/>
        <w:rPr>
          <w:rFonts w:eastAsia="Times New Roman" w:cstheme="minorHAnsi"/>
        </w:rPr>
      </w:pPr>
      <w:r w:rsidRPr="00701D79">
        <w:rPr>
          <w:rFonts w:eastAsia="Times New Roman" w:cstheme="minorHAnsi"/>
        </w:rPr>
        <w:t>Voluntary renewable energy and carbon markets</w:t>
      </w:r>
    </w:p>
    <w:p w:rsidR="00EA3F04" w:rsidRPr="00701D79" w:rsidRDefault="00EA3F04" w:rsidP="003C3CB2">
      <w:pPr>
        <w:numPr>
          <w:ilvl w:val="0"/>
          <w:numId w:val="11"/>
        </w:numPr>
        <w:tabs>
          <w:tab w:val="num" w:pos="1080"/>
        </w:tabs>
        <w:spacing w:after="0" w:line="240" w:lineRule="auto"/>
        <w:ind w:left="1080"/>
        <w:rPr>
          <w:rFonts w:eastAsia="Times New Roman" w:cstheme="minorHAnsi"/>
        </w:rPr>
      </w:pPr>
      <w:r w:rsidRPr="00701D79">
        <w:rPr>
          <w:rFonts w:eastAsia="Times New Roman" w:cstheme="minorHAnsi"/>
        </w:rPr>
        <w:t>It’s NOT all CO2: Non-CO2 Highly Climate Warming Gases</w:t>
      </w:r>
    </w:p>
    <w:p w:rsidR="00EA3F04" w:rsidRPr="00701D79" w:rsidRDefault="00EA3F04" w:rsidP="003C3CB2">
      <w:pPr>
        <w:numPr>
          <w:ilvl w:val="0"/>
          <w:numId w:val="11"/>
        </w:numPr>
        <w:tabs>
          <w:tab w:val="num" w:pos="1080"/>
        </w:tabs>
        <w:spacing w:after="0" w:line="240" w:lineRule="auto"/>
        <w:ind w:left="1080"/>
        <w:rPr>
          <w:rFonts w:eastAsia="Times New Roman" w:cstheme="minorHAnsi"/>
        </w:rPr>
      </w:pPr>
      <w:r w:rsidRPr="00701D79">
        <w:rPr>
          <w:rFonts w:eastAsia="Times New Roman" w:cstheme="minorHAnsi"/>
        </w:rPr>
        <w:t>Utilizing EPA/DOE EnergyStar for building GHG footprint</w:t>
      </w:r>
    </w:p>
    <w:p w:rsidR="00EA3F04" w:rsidRPr="00701D79" w:rsidRDefault="00EA3F04" w:rsidP="003C3CB2">
      <w:pPr>
        <w:numPr>
          <w:ilvl w:val="0"/>
          <w:numId w:val="11"/>
        </w:numPr>
        <w:tabs>
          <w:tab w:val="num" w:pos="1080"/>
        </w:tabs>
        <w:spacing w:after="0" w:line="240" w:lineRule="auto"/>
        <w:ind w:left="1080"/>
        <w:rPr>
          <w:rFonts w:eastAsia="Times New Roman" w:cstheme="minorHAnsi"/>
        </w:rPr>
      </w:pPr>
      <w:r w:rsidRPr="00701D79">
        <w:rPr>
          <w:rFonts w:eastAsia="Times New Roman" w:cstheme="minorHAnsi"/>
        </w:rPr>
        <w:t>How to include employee transportation GHG footprint</w:t>
      </w:r>
    </w:p>
    <w:p w:rsidR="00EA3F04" w:rsidRPr="00701D79" w:rsidRDefault="00EA3F04" w:rsidP="003C3CB2">
      <w:pPr>
        <w:numPr>
          <w:ilvl w:val="0"/>
          <w:numId w:val="11"/>
        </w:numPr>
        <w:tabs>
          <w:tab w:val="num" w:pos="1080"/>
        </w:tabs>
        <w:spacing w:after="0" w:line="240" w:lineRule="auto"/>
        <w:ind w:left="1080"/>
        <w:rPr>
          <w:rFonts w:eastAsia="Times New Roman" w:cstheme="minorHAnsi"/>
        </w:rPr>
      </w:pPr>
      <w:r w:rsidRPr="00701D79">
        <w:rPr>
          <w:rFonts w:eastAsia="Times New Roman" w:cstheme="minorHAnsi"/>
        </w:rPr>
        <w:t xml:space="preserve">Calculating your recycling efforts reduction of GHGs  </w:t>
      </w:r>
    </w:p>
    <w:p w:rsidR="00EA3F04" w:rsidRDefault="00EA3F04" w:rsidP="003C3CB2">
      <w:pPr>
        <w:numPr>
          <w:ilvl w:val="0"/>
          <w:numId w:val="11"/>
        </w:numPr>
        <w:tabs>
          <w:tab w:val="num" w:pos="1080"/>
        </w:tabs>
        <w:spacing w:after="0" w:line="240" w:lineRule="auto"/>
        <w:ind w:left="1080"/>
        <w:rPr>
          <w:rFonts w:eastAsia="Times New Roman" w:cstheme="minorHAnsi"/>
        </w:rPr>
      </w:pPr>
      <w:r w:rsidRPr="00701D79">
        <w:rPr>
          <w:rFonts w:eastAsia="Times New Roman" w:cstheme="minorHAnsi"/>
        </w:rPr>
        <w:t>What is this thing called “Carbon Trading” &amp; how does it work?</w:t>
      </w:r>
    </w:p>
    <w:p w:rsidR="00984D79" w:rsidRPr="00701D79" w:rsidRDefault="00984D79" w:rsidP="00984D79">
      <w:pPr>
        <w:spacing w:after="0" w:line="240" w:lineRule="auto"/>
        <w:ind w:left="1080"/>
        <w:rPr>
          <w:rFonts w:eastAsia="Times New Roman" w:cstheme="minorHAnsi"/>
        </w:rPr>
      </w:pPr>
    </w:p>
    <w:bookmarkEnd w:id="3"/>
    <w:p w:rsidR="00C315B8" w:rsidRPr="00701D79" w:rsidRDefault="004E1105" w:rsidP="003C3CB2">
      <w:pPr>
        <w:spacing w:after="0" w:line="240" w:lineRule="auto"/>
        <w:ind w:left="360"/>
        <w:rPr>
          <w:rFonts w:eastAsia="Times New Roman" w:cstheme="minorHAnsi"/>
          <w:b/>
        </w:rPr>
      </w:pPr>
      <w:r w:rsidRPr="00701D79">
        <w:rPr>
          <w:rFonts w:eastAsia="Times New Roman" w:cstheme="minorHAnsi"/>
          <w:b/>
        </w:rPr>
        <w:t xml:space="preserve">Energy and Water </w:t>
      </w:r>
      <w:r w:rsidR="004552B5">
        <w:rPr>
          <w:rFonts w:eastAsia="Times New Roman" w:cstheme="minorHAnsi"/>
          <w:b/>
        </w:rPr>
        <w:t>Efficiency</w:t>
      </w:r>
    </w:p>
    <w:p w:rsidR="00EA3F04" w:rsidRPr="00701D79" w:rsidRDefault="00EA3F04" w:rsidP="003C3CB2">
      <w:pPr>
        <w:numPr>
          <w:ilvl w:val="0"/>
          <w:numId w:val="12"/>
        </w:numPr>
        <w:spacing w:after="0" w:line="240" w:lineRule="auto"/>
        <w:rPr>
          <w:rFonts w:eastAsia="Times New Roman" w:cstheme="minorHAnsi"/>
        </w:rPr>
      </w:pPr>
      <w:r w:rsidRPr="00701D79">
        <w:rPr>
          <w:rFonts w:eastAsia="Times New Roman" w:cstheme="minorHAnsi"/>
        </w:rPr>
        <w:t>Federal building performance standards</w:t>
      </w:r>
    </w:p>
    <w:p w:rsidR="00EA3F04" w:rsidRPr="00701D79" w:rsidRDefault="00EA3F04" w:rsidP="003C3CB2">
      <w:pPr>
        <w:numPr>
          <w:ilvl w:val="0"/>
          <w:numId w:val="7"/>
        </w:numPr>
        <w:spacing w:after="0" w:line="240" w:lineRule="auto"/>
        <w:rPr>
          <w:rFonts w:eastAsia="Times New Roman" w:cstheme="minorHAnsi"/>
        </w:rPr>
      </w:pPr>
      <w:r w:rsidRPr="00701D79">
        <w:rPr>
          <w:rFonts w:eastAsia="Times New Roman" w:cstheme="minorHAnsi"/>
        </w:rPr>
        <w:t>Energy management requirements</w:t>
      </w:r>
    </w:p>
    <w:p w:rsidR="00EA3F04" w:rsidRPr="00701D79" w:rsidRDefault="00EA3F04" w:rsidP="003C3CB2">
      <w:pPr>
        <w:numPr>
          <w:ilvl w:val="0"/>
          <w:numId w:val="7"/>
        </w:numPr>
        <w:spacing w:after="0" w:line="240" w:lineRule="auto"/>
        <w:rPr>
          <w:rFonts w:eastAsia="Times New Roman" w:cstheme="minorHAnsi"/>
        </w:rPr>
      </w:pPr>
      <w:r w:rsidRPr="00701D79">
        <w:rPr>
          <w:rFonts w:eastAsia="Times New Roman" w:cstheme="minorHAnsi"/>
        </w:rPr>
        <w:t xml:space="preserve">Energy Star and </w:t>
      </w:r>
      <w:r w:rsidR="007A4B8C" w:rsidRPr="007A4B8C">
        <w:rPr>
          <w:rFonts w:eastAsia="Times New Roman" w:cstheme="minorHAnsi"/>
        </w:rPr>
        <w:t>Federal Energy Management Program (FEMP)</w:t>
      </w:r>
      <w:r w:rsidRPr="00701D79">
        <w:rPr>
          <w:rFonts w:eastAsia="Times New Roman" w:cstheme="minorHAnsi"/>
        </w:rPr>
        <w:t xml:space="preserve"> designated product requirements</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Green / renewable power; on-site applications and procurement</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Building energy rating systems</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Optimizing direct digital controls and building automation systems</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 xml:space="preserve">Metering </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Wireless monitoring of building systems</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Energy storage strategies</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Retrocommissioning or re-tuning of existing buildings</w:t>
      </w:r>
    </w:p>
    <w:p w:rsidR="00EA3F04" w:rsidRPr="00701D79" w:rsidRDefault="00BE5E56" w:rsidP="00BE5E56">
      <w:pPr>
        <w:numPr>
          <w:ilvl w:val="0"/>
          <w:numId w:val="7"/>
        </w:numPr>
        <w:spacing w:after="0" w:line="240" w:lineRule="auto"/>
        <w:rPr>
          <w:rFonts w:eastAsia="Times New Roman" w:cstheme="minorHAnsi"/>
        </w:rPr>
      </w:pPr>
      <w:r w:rsidRPr="00BE5E56">
        <w:rPr>
          <w:rFonts w:eastAsia="Times New Roman" w:cstheme="minorHAnsi"/>
        </w:rPr>
        <w:t>Strategies for energy evaluations/audits performance</w:t>
      </w:r>
      <w:r>
        <w:rPr>
          <w:rFonts w:eastAsia="Times New Roman" w:cstheme="minorHAnsi"/>
        </w:rPr>
        <w:t xml:space="preserve"> </w:t>
      </w:r>
      <w:r w:rsidR="00EA3F04" w:rsidRPr="00701D79">
        <w:rPr>
          <w:rFonts w:eastAsia="Times New Roman" w:cstheme="minorHAnsi"/>
        </w:rPr>
        <w:t>Alternative Financing: Energy Saving Performance Contracts, Enhanced Use Lease, Utility Energy Services Contracts, and others</w:t>
      </w:r>
    </w:p>
    <w:p w:rsidR="00EA3F04" w:rsidRPr="00701D79" w:rsidRDefault="00EA3F04" w:rsidP="003C3CB2">
      <w:pPr>
        <w:numPr>
          <w:ilvl w:val="0"/>
          <w:numId w:val="7"/>
        </w:numPr>
        <w:spacing w:after="0" w:line="240" w:lineRule="auto"/>
        <w:rPr>
          <w:rFonts w:eastAsia="Times New Roman" w:cstheme="minorHAnsi"/>
        </w:rPr>
      </w:pPr>
      <w:r w:rsidRPr="00701D79">
        <w:rPr>
          <w:rFonts w:eastAsia="Times New Roman" w:cstheme="minorHAnsi"/>
        </w:rPr>
        <w:t>Strategic energy planning</w:t>
      </w:r>
    </w:p>
    <w:p w:rsidR="00EA3F04" w:rsidRDefault="00EA3F04" w:rsidP="003C3CB2">
      <w:pPr>
        <w:numPr>
          <w:ilvl w:val="0"/>
          <w:numId w:val="7"/>
        </w:numPr>
        <w:spacing w:after="0" w:line="240" w:lineRule="auto"/>
        <w:rPr>
          <w:rFonts w:eastAsia="Times New Roman" w:cstheme="minorHAnsi"/>
        </w:rPr>
      </w:pPr>
      <w:r w:rsidRPr="00701D79">
        <w:rPr>
          <w:rFonts w:eastAsia="Times New Roman" w:cstheme="minorHAnsi"/>
        </w:rPr>
        <w:t>Energy conservation for remote facilities</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Zero Net Energy Designs</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Clean power applications; combined heat and power, fuel cells, methane capture, wind power, solar energy</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New technology advancements for energy and water efficiency</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Water efficiency measures for offices, laboratories, hospitals, etc.</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Water saving landscaping practices</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Water-energy nexus</w:t>
      </w:r>
    </w:p>
    <w:p w:rsidR="00BE5E56" w:rsidRPr="00BE5E56" w:rsidRDefault="006F0D6C" w:rsidP="00BE5E56">
      <w:pPr>
        <w:numPr>
          <w:ilvl w:val="0"/>
          <w:numId w:val="7"/>
        </w:numPr>
        <w:spacing w:after="0" w:line="240" w:lineRule="auto"/>
        <w:rPr>
          <w:rFonts w:eastAsia="Times New Roman" w:cstheme="minorHAnsi"/>
        </w:rPr>
      </w:pPr>
      <w:r>
        <w:rPr>
          <w:rFonts w:eastAsia="Times New Roman" w:cstheme="minorHAnsi"/>
        </w:rPr>
        <w:t>P</w:t>
      </w:r>
      <w:r w:rsidR="00BE5E56" w:rsidRPr="00BE5E56">
        <w:rPr>
          <w:rFonts w:eastAsia="Times New Roman" w:cstheme="minorHAnsi"/>
        </w:rPr>
        <w:t>erforming campus water balances</w:t>
      </w:r>
    </w:p>
    <w:p w:rsidR="00BE5E56" w:rsidRPr="00BE5E56" w:rsidRDefault="00BE5E56" w:rsidP="00BE5E56">
      <w:pPr>
        <w:numPr>
          <w:ilvl w:val="0"/>
          <w:numId w:val="7"/>
        </w:numPr>
        <w:spacing w:after="0" w:line="240" w:lineRule="auto"/>
        <w:rPr>
          <w:rFonts w:eastAsia="Times New Roman" w:cstheme="minorHAnsi"/>
        </w:rPr>
      </w:pPr>
      <w:r w:rsidRPr="00BE5E56">
        <w:rPr>
          <w:rFonts w:eastAsia="Times New Roman" w:cstheme="minorHAnsi"/>
        </w:rPr>
        <w:t>Water saving devices and equipment updates</w:t>
      </w:r>
    </w:p>
    <w:p w:rsidR="00BE5E56" w:rsidRPr="00701D79" w:rsidRDefault="00BE5E56" w:rsidP="00BE5E56">
      <w:pPr>
        <w:numPr>
          <w:ilvl w:val="0"/>
          <w:numId w:val="7"/>
        </w:numPr>
        <w:spacing w:after="0" w:line="240" w:lineRule="auto"/>
        <w:rPr>
          <w:rFonts w:eastAsia="Times New Roman" w:cstheme="minorHAnsi"/>
        </w:rPr>
      </w:pPr>
      <w:r w:rsidRPr="00BE5E56">
        <w:rPr>
          <w:rFonts w:eastAsia="Times New Roman" w:cstheme="minorHAnsi"/>
        </w:rPr>
        <w:t>Leak detection and monitoring</w:t>
      </w:r>
    </w:p>
    <w:p w:rsidR="00BE37BF" w:rsidRPr="00701D79" w:rsidRDefault="00BE37BF" w:rsidP="00E158C2">
      <w:pPr>
        <w:spacing w:after="0" w:line="240" w:lineRule="auto"/>
        <w:rPr>
          <w:rFonts w:eastAsia="Times New Roman" w:cstheme="minorHAnsi"/>
          <w:b/>
        </w:rPr>
      </w:pPr>
    </w:p>
    <w:p w:rsidR="00C315B8" w:rsidRPr="00701D79" w:rsidRDefault="008B0CED" w:rsidP="003C3CB2">
      <w:pPr>
        <w:spacing w:after="0" w:line="240" w:lineRule="auto"/>
        <w:ind w:left="360"/>
        <w:rPr>
          <w:rFonts w:eastAsia="Times New Roman" w:cstheme="minorHAnsi"/>
        </w:rPr>
      </w:pPr>
      <w:r w:rsidRPr="00701D79">
        <w:rPr>
          <w:rFonts w:eastAsia="Times New Roman" w:cstheme="minorHAnsi"/>
          <w:b/>
        </w:rPr>
        <w:t xml:space="preserve">Best Environmental Practices </w:t>
      </w:r>
    </w:p>
    <w:p w:rsidR="00595821" w:rsidRDefault="00E158C2" w:rsidP="003C3CB2">
      <w:pPr>
        <w:numPr>
          <w:ilvl w:val="0"/>
          <w:numId w:val="8"/>
        </w:numPr>
        <w:spacing w:after="0" w:line="240" w:lineRule="auto"/>
        <w:rPr>
          <w:rFonts w:eastAsia="Times New Roman" w:cstheme="minorHAnsi"/>
        </w:rPr>
      </w:pPr>
      <w:r>
        <w:rPr>
          <w:rFonts w:eastAsia="Times New Roman" w:cstheme="minorHAnsi"/>
        </w:rPr>
        <w:t>Sustainable a</w:t>
      </w:r>
      <w:r w:rsidR="00595821">
        <w:rPr>
          <w:rFonts w:eastAsia="Times New Roman" w:cstheme="minorHAnsi"/>
        </w:rPr>
        <w:t>cquisition</w:t>
      </w:r>
    </w:p>
    <w:p w:rsidR="008B0CED" w:rsidRPr="00701D79" w:rsidRDefault="008B0CED" w:rsidP="003C3CB2">
      <w:pPr>
        <w:numPr>
          <w:ilvl w:val="0"/>
          <w:numId w:val="8"/>
        </w:numPr>
        <w:spacing w:after="0" w:line="240" w:lineRule="auto"/>
        <w:rPr>
          <w:rFonts w:eastAsia="Times New Roman" w:cstheme="minorHAnsi"/>
        </w:rPr>
      </w:pPr>
      <w:r w:rsidRPr="00701D79">
        <w:rPr>
          <w:rFonts w:eastAsia="Times New Roman" w:cstheme="minorHAnsi"/>
        </w:rPr>
        <w:t>Partnerships</w:t>
      </w:r>
    </w:p>
    <w:p w:rsidR="008B0CED" w:rsidRPr="00701D79" w:rsidRDefault="008B0CED" w:rsidP="003C3CB2">
      <w:pPr>
        <w:numPr>
          <w:ilvl w:val="0"/>
          <w:numId w:val="8"/>
        </w:numPr>
        <w:spacing w:after="0" w:line="240" w:lineRule="auto"/>
        <w:rPr>
          <w:rFonts w:eastAsia="Times New Roman" w:cstheme="minorHAnsi"/>
        </w:rPr>
      </w:pPr>
      <w:r w:rsidRPr="00701D79">
        <w:rPr>
          <w:rFonts w:eastAsia="Times New Roman" w:cstheme="minorHAnsi"/>
        </w:rPr>
        <w:t>Environmental reviews (</w:t>
      </w:r>
      <w:r w:rsidR="007A4B8C" w:rsidRPr="007A4B8C">
        <w:rPr>
          <w:rFonts w:eastAsia="Times New Roman" w:cstheme="minorHAnsi"/>
        </w:rPr>
        <w:t>National Environmental Policy Act (NEPA)</w:t>
      </w:r>
      <w:r w:rsidRPr="00701D79">
        <w:rPr>
          <w:rFonts w:eastAsia="Times New Roman" w:cstheme="minorHAnsi"/>
        </w:rPr>
        <w:t>)</w:t>
      </w:r>
    </w:p>
    <w:p w:rsidR="008B0CED" w:rsidRPr="00701D79" w:rsidRDefault="008B0CED" w:rsidP="003C3CB2">
      <w:pPr>
        <w:numPr>
          <w:ilvl w:val="0"/>
          <w:numId w:val="8"/>
        </w:numPr>
        <w:spacing w:after="0" w:line="240" w:lineRule="auto"/>
        <w:rPr>
          <w:rFonts w:eastAsia="Times New Roman" w:cstheme="minorHAnsi"/>
        </w:rPr>
      </w:pPr>
      <w:r w:rsidRPr="00701D79">
        <w:rPr>
          <w:rFonts w:eastAsia="Times New Roman" w:cstheme="minorHAnsi"/>
        </w:rPr>
        <w:t>Environmental conflict resolution</w:t>
      </w:r>
    </w:p>
    <w:p w:rsidR="008B0CED" w:rsidRPr="00701D79" w:rsidRDefault="008B0CED" w:rsidP="003C3CB2">
      <w:pPr>
        <w:numPr>
          <w:ilvl w:val="0"/>
          <w:numId w:val="8"/>
        </w:numPr>
        <w:spacing w:after="0" w:line="240" w:lineRule="auto"/>
        <w:rPr>
          <w:rFonts w:eastAsia="Times New Roman" w:cstheme="minorHAnsi"/>
        </w:rPr>
      </w:pPr>
      <w:r w:rsidRPr="00701D79">
        <w:rPr>
          <w:rFonts w:eastAsia="Times New Roman" w:cstheme="minorHAnsi"/>
        </w:rPr>
        <w:t>Compliance management</w:t>
      </w:r>
    </w:p>
    <w:p w:rsidR="008B0CED" w:rsidRPr="00701D79" w:rsidRDefault="008B0CED" w:rsidP="003C3CB2">
      <w:pPr>
        <w:numPr>
          <w:ilvl w:val="0"/>
          <w:numId w:val="8"/>
        </w:numPr>
        <w:spacing w:after="0" w:line="240" w:lineRule="auto"/>
        <w:rPr>
          <w:rFonts w:eastAsia="Times New Roman" w:cstheme="minorHAnsi"/>
        </w:rPr>
      </w:pPr>
      <w:r w:rsidRPr="00701D79">
        <w:rPr>
          <w:rFonts w:eastAsia="Times New Roman" w:cstheme="minorHAnsi"/>
        </w:rPr>
        <w:t>Connections among waste, recycling, and climate</w:t>
      </w:r>
    </w:p>
    <w:p w:rsidR="008B0CED" w:rsidRDefault="008B0CED" w:rsidP="003C3CB2">
      <w:pPr>
        <w:numPr>
          <w:ilvl w:val="0"/>
          <w:numId w:val="8"/>
        </w:numPr>
        <w:spacing w:after="0" w:line="240" w:lineRule="auto"/>
        <w:rPr>
          <w:rFonts w:eastAsia="Times New Roman" w:cstheme="minorHAnsi"/>
        </w:rPr>
      </w:pPr>
      <w:r w:rsidRPr="00701D79">
        <w:rPr>
          <w:rFonts w:eastAsia="Times New Roman" w:cstheme="minorHAnsi"/>
        </w:rPr>
        <w:t>Environmental performance standards</w:t>
      </w:r>
    </w:p>
    <w:p w:rsidR="008B0CED" w:rsidRDefault="008B0CED" w:rsidP="003C3CB2">
      <w:pPr>
        <w:spacing w:after="0" w:line="240" w:lineRule="auto"/>
        <w:rPr>
          <w:rFonts w:eastAsia="Times New Roman" w:cstheme="minorHAnsi"/>
        </w:rPr>
      </w:pPr>
    </w:p>
    <w:p w:rsidR="00C315B8" w:rsidRPr="00701D79" w:rsidRDefault="004E1105" w:rsidP="003C3CB2">
      <w:pPr>
        <w:spacing w:after="0" w:line="240" w:lineRule="auto"/>
        <w:ind w:left="360"/>
        <w:rPr>
          <w:rFonts w:eastAsia="Times New Roman" w:cstheme="minorHAnsi"/>
          <w:b/>
        </w:rPr>
      </w:pPr>
      <w:r w:rsidRPr="00701D79">
        <w:rPr>
          <w:rFonts w:eastAsia="Times New Roman" w:cstheme="minorHAnsi"/>
          <w:b/>
        </w:rPr>
        <w:t>Protect</w:t>
      </w:r>
      <w:r w:rsidR="008B0CED">
        <w:rPr>
          <w:rFonts w:eastAsia="Times New Roman" w:cstheme="minorHAnsi"/>
          <w:b/>
        </w:rPr>
        <w:t>ing our Natural Resources</w:t>
      </w:r>
    </w:p>
    <w:p w:rsidR="008B0CED" w:rsidRPr="00701D79" w:rsidRDefault="008B0CED" w:rsidP="003C3CB2">
      <w:pPr>
        <w:numPr>
          <w:ilvl w:val="0"/>
          <w:numId w:val="13"/>
        </w:numPr>
        <w:spacing w:after="0" w:line="240" w:lineRule="auto"/>
        <w:rPr>
          <w:rFonts w:eastAsia="Times New Roman" w:cstheme="minorHAnsi"/>
          <w:b/>
        </w:rPr>
      </w:pPr>
      <w:r>
        <w:rPr>
          <w:rFonts w:eastAsia="Times New Roman" w:cstheme="minorHAnsi"/>
        </w:rPr>
        <w:t>Park service programs</w:t>
      </w:r>
    </w:p>
    <w:p w:rsidR="00EA3F04" w:rsidRPr="008B0CED" w:rsidRDefault="00EA3F04" w:rsidP="003C3CB2">
      <w:pPr>
        <w:numPr>
          <w:ilvl w:val="0"/>
          <w:numId w:val="13"/>
        </w:numPr>
        <w:spacing w:after="0" w:line="240" w:lineRule="auto"/>
        <w:rPr>
          <w:rFonts w:eastAsia="Times New Roman" w:cstheme="minorHAnsi"/>
          <w:b/>
        </w:rPr>
      </w:pPr>
      <w:r w:rsidRPr="00701D79">
        <w:rPr>
          <w:rFonts w:eastAsia="Times New Roman" w:cstheme="minorHAnsi"/>
        </w:rPr>
        <w:t xml:space="preserve">Forest </w:t>
      </w:r>
      <w:r w:rsidR="008B0CED">
        <w:rPr>
          <w:rFonts w:eastAsia="Times New Roman" w:cstheme="minorHAnsi"/>
        </w:rPr>
        <w:t>m</w:t>
      </w:r>
      <w:r w:rsidRPr="00701D79">
        <w:rPr>
          <w:rFonts w:eastAsia="Times New Roman" w:cstheme="minorHAnsi"/>
        </w:rPr>
        <w:t>anagement</w:t>
      </w:r>
    </w:p>
    <w:p w:rsidR="00EA3F04" w:rsidRPr="00701D79" w:rsidRDefault="00EA3F04" w:rsidP="003C3CB2">
      <w:pPr>
        <w:numPr>
          <w:ilvl w:val="0"/>
          <w:numId w:val="13"/>
        </w:numPr>
        <w:spacing w:after="0" w:line="240" w:lineRule="auto"/>
        <w:rPr>
          <w:rFonts w:eastAsia="Times New Roman" w:cstheme="minorHAnsi"/>
          <w:b/>
        </w:rPr>
      </w:pPr>
      <w:r w:rsidRPr="00701D79">
        <w:rPr>
          <w:rFonts w:eastAsia="Times New Roman" w:cstheme="minorHAnsi"/>
        </w:rPr>
        <w:t xml:space="preserve">Wildlife </w:t>
      </w:r>
      <w:r w:rsidR="008B0CED">
        <w:rPr>
          <w:rFonts w:eastAsia="Times New Roman" w:cstheme="minorHAnsi"/>
        </w:rPr>
        <w:t>m</w:t>
      </w:r>
      <w:r w:rsidRPr="00701D79">
        <w:rPr>
          <w:rFonts w:eastAsia="Times New Roman" w:cstheme="minorHAnsi"/>
        </w:rPr>
        <w:t>anagement</w:t>
      </w:r>
    </w:p>
    <w:p w:rsidR="00EA3F04" w:rsidRPr="00701D79" w:rsidRDefault="00EA3F04" w:rsidP="003C3CB2">
      <w:pPr>
        <w:numPr>
          <w:ilvl w:val="0"/>
          <w:numId w:val="13"/>
        </w:numPr>
        <w:spacing w:after="0" w:line="240" w:lineRule="auto"/>
        <w:rPr>
          <w:rFonts w:eastAsia="Times New Roman" w:cstheme="minorHAnsi"/>
          <w:b/>
        </w:rPr>
      </w:pPr>
      <w:r w:rsidRPr="00701D79">
        <w:rPr>
          <w:rFonts w:eastAsia="Times New Roman" w:cstheme="minorHAnsi"/>
        </w:rPr>
        <w:t xml:space="preserve">Minerals </w:t>
      </w:r>
      <w:r w:rsidR="008B0CED">
        <w:rPr>
          <w:rFonts w:eastAsia="Times New Roman" w:cstheme="minorHAnsi"/>
        </w:rPr>
        <w:t>m</w:t>
      </w:r>
      <w:r w:rsidRPr="00701D79">
        <w:rPr>
          <w:rFonts w:eastAsia="Times New Roman" w:cstheme="minorHAnsi"/>
        </w:rPr>
        <w:t>anagement</w:t>
      </w:r>
    </w:p>
    <w:p w:rsidR="00EA3F04" w:rsidRPr="00701D79" w:rsidRDefault="00EA3F04" w:rsidP="003C3CB2">
      <w:pPr>
        <w:numPr>
          <w:ilvl w:val="0"/>
          <w:numId w:val="13"/>
        </w:numPr>
        <w:spacing w:after="0" w:line="240" w:lineRule="auto"/>
        <w:rPr>
          <w:rFonts w:eastAsia="Times New Roman" w:cstheme="minorHAnsi"/>
          <w:b/>
        </w:rPr>
      </w:pPr>
      <w:r w:rsidRPr="00701D79">
        <w:rPr>
          <w:rFonts w:eastAsia="Times New Roman" w:cstheme="minorHAnsi"/>
        </w:rPr>
        <w:t>Managing fires</w:t>
      </w:r>
    </w:p>
    <w:p w:rsidR="00EA3F04" w:rsidRPr="007A4B8C" w:rsidRDefault="00EA3F04" w:rsidP="003C3CB2">
      <w:pPr>
        <w:numPr>
          <w:ilvl w:val="0"/>
          <w:numId w:val="13"/>
        </w:numPr>
        <w:spacing w:after="0" w:line="240" w:lineRule="auto"/>
        <w:rPr>
          <w:rFonts w:eastAsia="Times New Roman" w:cstheme="minorHAnsi"/>
          <w:b/>
        </w:rPr>
      </w:pPr>
      <w:r w:rsidRPr="00701D79">
        <w:rPr>
          <w:rFonts w:eastAsia="Times New Roman" w:cstheme="minorHAnsi"/>
        </w:rPr>
        <w:t>Water issues (e.g., Chesapeake Bay water issues, wetlands, droughts)</w:t>
      </w:r>
    </w:p>
    <w:p w:rsidR="007A4B8C" w:rsidRPr="006F0D6C" w:rsidRDefault="007A4B8C" w:rsidP="003C3CB2">
      <w:pPr>
        <w:pStyle w:val="ListParagraph"/>
        <w:numPr>
          <w:ilvl w:val="0"/>
          <w:numId w:val="13"/>
        </w:numPr>
        <w:spacing w:after="0" w:line="240" w:lineRule="auto"/>
        <w:rPr>
          <w:rFonts w:eastAsia="Times New Roman" w:cstheme="minorHAnsi"/>
        </w:rPr>
      </w:pPr>
      <w:r w:rsidRPr="006F0D6C">
        <w:rPr>
          <w:rFonts w:eastAsia="Times New Roman" w:cstheme="minorHAnsi"/>
        </w:rPr>
        <w:t>Supporting pollinator habitat</w:t>
      </w:r>
    </w:p>
    <w:p w:rsidR="00E264CC" w:rsidRPr="00701D79" w:rsidRDefault="00E264CC" w:rsidP="00E264CC">
      <w:pPr>
        <w:spacing w:after="0" w:line="240" w:lineRule="auto"/>
        <w:rPr>
          <w:rFonts w:eastAsia="Times New Roman" w:cstheme="minorHAnsi"/>
          <w:b/>
        </w:rPr>
      </w:pPr>
    </w:p>
    <w:p w:rsidR="004E1105" w:rsidRPr="00701D79" w:rsidRDefault="004E1105" w:rsidP="003C3CB2">
      <w:pPr>
        <w:rPr>
          <w:rFonts w:eastAsia="Times New Roman" w:cstheme="minorHAnsi"/>
        </w:rPr>
      </w:pPr>
      <w:r w:rsidRPr="00701D79">
        <w:rPr>
          <w:rFonts w:eastAsia="Times New Roman" w:cstheme="minorHAnsi"/>
        </w:rPr>
        <w:br w:type="page"/>
      </w:r>
    </w:p>
    <w:p w:rsidR="00EA3F04" w:rsidRDefault="007D5EF5" w:rsidP="008B0CED">
      <w:pPr>
        <w:spacing w:after="0" w:line="240" w:lineRule="auto"/>
        <w:jc w:val="center"/>
        <w:rPr>
          <w:rFonts w:ascii="Arial" w:eastAsia="Times New Roman" w:hAnsi="Arial" w:cs="Arial"/>
          <w:b/>
          <w:sz w:val="20"/>
          <w:szCs w:val="20"/>
          <w:u w:val="single"/>
        </w:rPr>
      </w:pPr>
      <w:r>
        <w:rPr>
          <w:rFonts w:ascii="Arial" w:eastAsia="Times New Roman" w:hAnsi="Arial" w:cs="Arial"/>
          <w:b/>
          <w:sz w:val="20"/>
          <w:szCs w:val="20"/>
          <w:u w:val="single"/>
        </w:rPr>
        <w:lastRenderedPageBreak/>
        <w:t xml:space="preserve">SAMPLE </w:t>
      </w:r>
      <w:r w:rsidR="00EA3F04" w:rsidRPr="00EA3F04">
        <w:rPr>
          <w:rFonts w:ascii="Arial" w:eastAsia="Times New Roman" w:hAnsi="Arial" w:cs="Arial"/>
          <w:b/>
          <w:sz w:val="20"/>
          <w:szCs w:val="20"/>
          <w:u w:val="single"/>
        </w:rPr>
        <w:t>PRESENTATION ABSTRACT SUBMISSION FORM</w:t>
      </w:r>
    </w:p>
    <w:p w:rsidR="008B0CED" w:rsidRPr="00EA3F04" w:rsidRDefault="008B0CED" w:rsidP="008B0CED">
      <w:pPr>
        <w:spacing w:after="0" w:line="240" w:lineRule="auto"/>
        <w:jc w:val="center"/>
        <w:rPr>
          <w:rFonts w:ascii="Arial" w:eastAsia="Times New Roman" w:hAnsi="Arial" w:cs="Arial"/>
          <w:sz w:val="20"/>
          <w:szCs w:val="20"/>
        </w:rPr>
      </w:pPr>
    </w:p>
    <w:p w:rsidR="00EA3F04" w:rsidRPr="00EA3F04" w:rsidRDefault="00EA3F04" w:rsidP="00EA3F04">
      <w:pPr>
        <w:spacing w:after="0" w:line="240" w:lineRule="auto"/>
        <w:rPr>
          <w:rFonts w:ascii="Arial" w:eastAsia="Times New Roman" w:hAnsi="Arial" w:cs="Arial"/>
          <w:sz w:val="20"/>
          <w:szCs w:val="20"/>
        </w:rPr>
      </w:pPr>
    </w:p>
    <w:p w:rsidR="00EA3F04" w:rsidRDefault="007D5EF5" w:rsidP="00EA3F04">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Below is a sample abstract </w:t>
      </w:r>
      <w:r w:rsidR="00EA3F04" w:rsidRPr="00EA3F04">
        <w:rPr>
          <w:rFonts w:ascii="Arial" w:eastAsia="Times New Roman" w:hAnsi="Arial" w:cs="Arial"/>
          <w:b/>
          <w:sz w:val="20"/>
          <w:szCs w:val="20"/>
        </w:rPr>
        <w:t xml:space="preserve">submission </w:t>
      </w:r>
      <w:r>
        <w:rPr>
          <w:rFonts w:ascii="Arial" w:eastAsia="Times New Roman" w:hAnsi="Arial" w:cs="Arial"/>
          <w:b/>
          <w:sz w:val="20"/>
          <w:szCs w:val="20"/>
        </w:rPr>
        <w:t xml:space="preserve">form – it is only to be used for your reference. Candidate presenters are required to submit their abstract online via </w:t>
      </w:r>
      <w:hyperlink r:id="rId9" w:history="1">
        <w:r w:rsidRPr="00305673">
          <w:rPr>
            <w:rStyle w:val="Hyperlink"/>
            <w:rFonts w:ascii="Arial" w:eastAsia="Times New Roman" w:hAnsi="Arial" w:cs="Arial"/>
            <w:b/>
            <w:sz w:val="20"/>
            <w:szCs w:val="20"/>
          </w:rPr>
          <w:t>https://www.fedcenter.gov/symposium2019-cfp</w:t>
        </w:r>
      </w:hyperlink>
      <w:r>
        <w:rPr>
          <w:rFonts w:ascii="Arial" w:eastAsia="Times New Roman" w:hAnsi="Arial" w:cs="Arial"/>
          <w:b/>
          <w:sz w:val="20"/>
          <w:szCs w:val="20"/>
        </w:rPr>
        <w:t xml:space="preserve">. The </w:t>
      </w:r>
      <w:r w:rsidR="00EA3F04" w:rsidRPr="00EA3F04">
        <w:rPr>
          <w:rFonts w:ascii="Arial" w:eastAsia="Times New Roman" w:hAnsi="Arial" w:cs="Arial"/>
          <w:b/>
          <w:sz w:val="20"/>
          <w:szCs w:val="20"/>
        </w:rPr>
        <w:t>deadline</w:t>
      </w:r>
      <w:r>
        <w:rPr>
          <w:rFonts w:ascii="Arial" w:eastAsia="Times New Roman" w:hAnsi="Arial" w:cs="Arial"/>
          <w:b/>
          <w:sz w:val="20"/>
          <w:szCs w:val="20"/>
        </w:rPr>
        <w:t xml:space="preserve"> for submittal</w:t>
      </w:r>
      <w:r w:rsidR="00EA3F04" w:rsidRPr="00EA3F04">
        <w:rPr>
          <w:rFonts w:ascii="Arial" w:eastAsia="Times New Roman" w:hAnsi="Arial" w:cs="Arial"/>
          <w:b/>
          <w:sz w:val="20"/>
          <w:szCs w:val="20"/>
        </w:rPr>
        <w:t xml:space="preserve"> is </w:t>
      </w:r>
      <w:r w:rsidR="00C82172" w:rsidRPr="00F312C6">
        <w:rPr>
          <w:rFonts w:ascii="Arial" w:eastAsia="Times New Roman" w:hAnsi="Arial" w:cs="Arial"/>
          <w:b/>
          <w:color w:val="C00000"/>
          <w:sz w:val="20"/>
          <w:szCs w:val="20"/>
        </w:rPr>
        <w:t>May</w:t>
      </w:r>
      <w:r w:rsidR="00EA3F04" w:rsidRPr="00AA6823">
        <w:rPr>
          <w:rFonts w:ascii="Arial" w:eastAsia="Times New Roman" w:hAnsi="Arial" w:cs="Arial"/>
          <w:b/>
          <w:sz w:val="20"/>
          <w:szCs w:val="20"/>
        </w:rPr>
        <w:t xml:space="preserve"> </w:t>
      </w:r>
      <w:r w:rsidR="00C82172" w:rsidRPr="00F312C6">
        <w:rPr>
          <w:rFonts w:ascii="Arial" w:eastAsia="Times New Roman" w:hAnsi="Arial" w:cs="Arial"/>
          <w:b/>
          <w:strike/>
          <w:sz w:val="20"/>
          <w:szCs w:val="20"/>
        </w:rPr>
        <w:t>3</w:t>
      </w:r>
      <w:r w:rsidR="00F312C6">
        <w:rPr>
          <w:rFonts w:ascii="Arial" w:eastAsia="Times New Roman" w:hAnsi="Arial" w:cs="Arial"/>
          <w:b/>
          <w:sz w:val="20"/>
          <w:szCs w:val="20"/>
        </w:rPr>
        <w:t xml:space="preserve"> </w:t>
      </w:r>
      <w:r w:rsidR="00F312C6" w:rsidRPr="00F312C6">
        <w:rPr>
          <w:rFonts w:ascii="Arial" w:eastAsia="Times New Roman" w:hAnsi="Arial" w:cs="Arial"/>
          <w:b/>
          <w:color w:val="C00000"/>
          <w:sz w:val="20"/>
          <w:szCs w:val="20"/>
        </w:rPr>
        <w:t>31</w:t>
      </w:r>
      <w:r w:rsidR="00EA3F04" w:rsidRPr="00AA6823">
        <w:rPr>
          <w:rFonts w:ascii="Arial" w:eastAsia="Times New Roman" w:hAnsi="Arial" w:cs="Arial"/>
          <w:b/>
          <w:sz w:val="20"/>
          <w:szCs w:val="20"/>
        </w:rPr>
        <w:t xml:space="preserve">, </w:t>
      </w:r>
      <w:bookmarkStart w:id="4" w:name="_GoBack"/>
      <w:r w:rsidR="00EA3F04" w:rsidRPr="00F312C6">
        <w:rPr>
          <w:rFonts w:ascii="Arial" w:eastAsia="Times New Roman" w:hAnsi="Arial" w:cs="Arial"/>
          <w:b/>
          <w:color w:val="C00000"/>
          <w:sz w:val="20"/>
          <w:szCs w:val="20"/>
        </w:rPr>
        <w:t>20</w:t>
      </w:r>
      <w:r w:rsidR="00175B50" w:rsidRPr="00F312C6">
        <w:rPr>
          <w:rFonts w:ascii="Arial" w:eastAsia="Times New Roman" w:hAnsi="Arial" w:cs="Arial"/>
          <w:b/>
          <w:color w:val="C00000"/>
          <w:sz w:val="20"/>
          <w:szCs w:val="20"/>
        </w:rPr>
        <w:t>1</w:t>
      </w:r>
      <w:r w:rsidR="00EA3F04" w:rsidRPr="00F312C6">
        <w:rPr>
          <w:rFonts w:ascii="Arial" w:eastAsia="Times New Roman" w:hAnsi="Arial" w:cs="Arial"/>
          <w:b/>
          <w:color w:val="C00000"/>
          <w:sz w:val="20"/>
          <w:szCs w:val="20"/>
        </w:rPr>
        <w:t>9</w:t>
      </w:r>
      <w:bookmarkEnd w:id="4"/>
      <w:r>
        <w:rPr>
          <w:rFonts w:ascii="Arial" w:eastAsia="Times New Roman" w:hAnsi="Arial" w:cs="Arial"/>
          <w:b/>
          <w:sz w:val="20"/>
          <w:szCs w:val="20"/>
        </w:rPr>
        <w:t>.</w:t>
      </w:r>
    </w:p>
    <w:p w:rsidR="00AA6823" w:rsidRPr="00EA3F04" w:rsidRDefault="00AA6823" w:rsidP="00EA3F04">
      <w:pPr>
        <w:spacing w:after="0" w:line="240" w:lineRule="auto"/>
        <w:jc w:val="center"/>
        <w:rPr>
          <w:rFonts w:ascii="Arial" w:eastAsia="Times New Roman" w:hAnsi="Arial" w:cs="Arial"/>
          <w:b/>
          <w:sz w:val="20"/>
          <w:szCs w:val="20"/>
        </w:rPr>
      </w:pPr>
    </w:p>
    <w:tbl>
      <w:tblPr>
        <w:tblStyle w:val="TableGrid"/>
        <w:tblW w:w="9480" w:type="dxa"/>
        <w:tblInd w:w="-5" w:type="dxa"/>
        <w:tblLayout w:type="fixed"/>
        <w:tblCellMar>
          <w:left w:w="115" w:type="dxa"/>
          <w:right w:w="115" w:type="dxa"/>
        </w:tblCellMar>
        <w:tblLook w:val="00A0" w:firstRow="1" w:lastRow="0" w:firstColumn="1" w:lastColumn="0" w:noHBand="0" w:noVBand="0"/>
      </w:tblPr>
      <w:tblGrid>
        <w:gridCol w:w="960"/>
        <w:gridCol w:w="790"/>
        <w:gridCol w:w="3170"/>
        <w:gridCol w:w="1200"/>
        <w:gridCol w:w="3360"/>
      </w:tblGrid>
      <w:tr w:rsidR="00EA3F04" w:rsidRPr="00EA3F04" w:rsidTr="004E1105">
        <w:tc>
          <w:tcPr>
            <w:tcW w:w="948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EA3F04" w:rsidRPr="00EA3F04" w:rsidRDefault="00EA3F04" w:rsidP="00EA3F04">
            <w:pPr>
              <w:spacing w:before="120"/>
              <w:rPr>
                <w:rFonts w:ascii="Arial" w:hAnsi="Arial" w:cs="Arial"/>
                <w:b/>
              </w:rPr>
            </w:pPr>
            <w:r w:rsidRPr="00EA3F04">
              <w:rPr>
                <w:rFonts w:ascii="Arial" w:hAnsi="Arial" w:cs="Arial"/>
                <w:b/>
              </w:rPr>
              <w:t>PRESENTER CONTACT INFORMATION</w:t>
            </w:r>
          </w:p>
          <w:p w:rsidR="00EA3F04" w:rsidRPr="00EA3F04" w:rsidRDefault="00EA3F04" w:rsidP="008252CC">
            <w:pPr>
              <w:rPr>
                <w:rFonts w:ascii="Arial" w:hAnsi="Arial" w:cs="Arial"/>
              </w:rPr>
            </w:pPr>
            <w:r w:rsidRPr="00EA3F04">
              <w:rPr>
                <w:rFonts w:ascii="Arial" w:hAnsi="Arial" w:cs="Arial"/>
              </w:rPr>
              <w:t xml:space="preserve">Please provide your contact information below.  If you represent a non-Federal organization, briefly indicate your link to a Federal program, project, or partnership as described in </w:t>
            </w:r>
            <w:r w:rsidR="008252CC">
              <w:rPr>
                <w:rFonts w:ascii="Arial" w:hAnsi="Arial" w:cs="Arial"/>
              </w:rPr>
              <w:t xml:space="preserve">the Presenter Guidelines </w:t>
            </w:r>
            <w:r w:rsidRPr="00EA3F04">
              <w:rPr>
                <w:rFonts w:ascii="Arial" w:hAnsi="Arial" w:cs="Arial"/>
              </w:rPr>
              <w:t>above.</w:t>
            </w:r>
          </w:p>
        </w:tc>
      </w:tr>
      <w:tr w:rsidR="00EA3F04" w:rsidRPr="00EA3F04" w:rsidTr="004E1105">
        <w:trPr>
          <w:trHeight w:val="188"/>
        </w:trPr>
        <w:tc>
          <w:tcPr>
            <w:tcW w:w="1750" w:type="dxa"/>
            <w:gridSpan w:val="2"/>
            <w:tcBorders>
              <w:top w:val="nil"/>
              <w:left w:val="single" w:sz="4" w:space="0" w:color="auto"/>
              <w:bottom w:val="nil"/>
              <w:right w:val="nil"/>
            </w:tcBorders>
            <w:vAlign w:val="center"/>
          </w:tcPr>
          <w:p w:rsidR="00EA3F04" w:rsidRPr="00EA3F04" w:rsidRDefault="00EA3F04" w:rsidP="00EA3F04">
            <w:pPr>
              <w:spacing w:before="120"/>
              <w:jc w:val="right"/>
              <w:rPr>
                <w:rFonts w:ascii="Arial" w:hAnsi="Arial" w:cs="Arial"/>
              </w:rPr>
            </w:pPr>
            <w:r w:rsidRPr="00EA3F04">
              <w:rPr>
                <w:rFonts w:ascii="Arial" w:hAnsi="Arial" w:cs="Arial"/>
              </w:rPr>
              <w:t>Name(s):</w:t>
            </w:r>
          </w:p>
        </w:tc>
        <w:bookmarkStart w:id="5" w:name="Text4"/>
        <w:tc>
          <w:tcPr>
            <w:tcW w:w="7730" w:type="dxa"/>
            <w:gridSpan w:val="3"/>
            <w:tcBorders>
              <w:top w:val="nil"/>
              <w:left w:val="nil"/>
              <w:bottom w:val="nil"/>
              <w:right w:val="single" w:sz="4" w:space="0" w:color="auto"/>
            </w:tcBorders>
            <w:vAlign w:val="center"/>
          </w:tcPr>
          <w:p w:rsidR="00EA3F04" w:rsidRPr="00EA3F04" w:rsidRDefault="00EA3F04" w:rsidP="00EA3F04">
            <w:pPr>
              <w:spacing w:before="120"/>
              <w:rPr>
                <w:rFonts w:ascii="Arial" w:hAnsi="Arial" w:cs="Arial"/>
              </w:rPr>
            </w:pPr>
            <w:r w:rsidRPr="00EA3F04">
              <w:rPr>
                <w:rFonts w:ascii="Arial" w:hAnsi="Arial" w:cs="Arial"/>
              </w:rPr>
              <w:fldChar w:fldCharType="begin">
                <w:ffData>
                  <w:name w:val="Text4"/>
                  <w:enabled/>
                  <w:calcOnExit w:val="0"/>
                  <w:textInput>
                    <w:maxLength w:val="65"/>
                  </w:textInput>
                </w:ffData>
              </w:fldChar>
            </w:r>
            <w:r w:rsidRPr="00EA3F04">
              <w:rPr>
                <w:rFonts w:ascii="Arial" w:hAnsi="Arial" w:cs="Arial"/>
              </w:rPr>
              <w:instrText xml:space="preserve"> FORMTEXT </w:instrText>
            </w:r>
            <w:r w:rsidRPr="00EA3F04">
              <w:rPr>
                <w:rFonts w:ascii="Arial" w:hAnsi="Arial" w:cs="Arial"/>
              </w:rPr>
            </w:r>
            <w:r w:rsidRPr="00EA3F04">
              <w:rPr>
                <w:rFonts w:ascii="Arial" w:hAnsi="Arial" w:cs="Arial"/>
              </w:rPr>
              <w:fldChar w:fldCharType="separate"/>
            </w:r>
            <w:r w:rsidRPr="00EA3F04">
              <w:rPr>
                <w:rFonts w:ascii="Arial" w:hAnsi="Arial" w:cs="Arial"/>
              </w:rPr>
              <w:t> </w:t>
            </w:r>
            <w:r w:rsidRPr="00EA3F04">
              <w:rPr>
                <w:rFonts w:ascii="Arial" w:hAnsi="Arial" w:cs="Arial"/>
              </w:rPr>
              <w:t> </w:t>
            </w:r>
            <w:r w:rsidRPr="00EA3F04">
              <w:rPr>
                <w:rFonts w:ascii="Arial" w:hAnsi="Arial" w:cs="Arial"/>
              </w:rPr>
              <w:t> </w:t>
            </w:r>
            <w:r w:rsidRPr="00EA3F04">
              <w:rPr>
                <w:rFonts w:ascii="Arial" w:hAnsi="Arial" w:cs="Arial"/>
              </w:rPr>
              <w:t> </w:t>
            </w:r>
            <w:r w:rsidRPr="00EA3F04">
              <w:rPr>
                <w:rFonts w:ascii="Arial" w:hAnsi="Arial" w:cs="Arial"/>
              </w:rPr>
              <w:t> </w:t>
            </w:r>
            <w:r w:rsidRPr="00EA3F04">
              <w:rPr>
                <w:rFonts w:ascii="Arial" w:hAnsi="Arial" w:cs="Arial"/>
              </w:rPr>
              <w:fldChar w:fldCharType="end"/>
            </w:r>
            <w:bookmarkEnd w:id="5"/>
          </w:p>
        </w:tc>
      </w:tr>
      <w:tr w:rsidR="00EA3F04" w:rsidRPr="00EA3F04" w:rsidTr="004E1105">
        <w:tc>
          <w:tcPr>
            <w:tcW w:w="1750" w:type="dxa"/>
            <w:gridSpan w:val="2"/>
            <w:tcBorders>
              <w:top w:val="nil"/>
              <w:left w:val="single" w:sz="4" w:space="0" w:color="auto"/>
              <w:bottom w:val="nil"/>
              <w:right w:val="nil"/>
            </w:tcBorders>
            <w:vAlign w:val="center"/>
          </w:tcPr>
          <w:p w:rsidR="00EA3F04" w:rsidRPr="00EA3F04" w:rsidRDefault="00EA3F04" w:rsidP="00EA3F04">
            <w:pPr>
              <w:jc w:val="right"/>
              <w:rPr>
                <w:rFonts w:ascii="Arial" w:hAnsi="Arial" w:cs="Arial"/>
              </w:rPr>
            </w:pPr>
            <w:r w:rsidRPr="00EA3F04">
              <w:rPr>
                <w:rFonts w:ascii="Arial" w:hAnsi="Arial" w:cs="Arial"/>
              </w:rPr>
              <w:t>Organization:</w:t>
            </w:r>
          </w:p>
        </w:tc>
        <w:bookmarkStart w:id="6" w:name="Text5"/>
        <w:tc>
          <w:tcPr>
            <w:tcW w:w="7730" w:type="dxa"/>
            <w:gridSpan w:val="3"/>
            <w:tcBorders>
              <w:top w:val="nil"/>
              <w:left w:val="nil"/>
              <w:bottom w:val="nil"/>
              <w:right w:val="single" w:sz="4" w:space="0" w:color="auto"/>
            </w:tcBorders>
            <w:vAlign w:val="center"/>
          </w:tcPr>
          <w:p w:rsidR="00EA3F04" w:rsidRPr="00EA3F04" w:rsidRDefault="00EA3F04" w:rsidP="00EA3F04">
            <w:pPr>
              <w:rPr>
                <w:rFonts w:ascii="Arial" w:hAnsi="Arial" w:cs="Arial"/>
              </w:rPr>
            </w:pPr>
            <w:r w:rsidRPr="00EA3F04">
              <w:rPr>
                <w:rFonts w:ascii="Arial" w:hAnsi="Arial" w:cs="Arial"/>
              </w:rPr>
              <w:fldChar w:fldCharType="begin">
                <w:ffData>
                  <w:name w:val="Text5"/>
                  <w:enabled/>
                  <w:calcOnExit w:val="0"/>
                  <w:textInput>
                    <w:maxLength w:val="50"/>
                  </w:textInput>
                </w:ffData>
              </w:fldChar>
            </w:r>
            <w:r w:rsidRPr="00EA3F04">
              <w:rPr>
                <w:rFonts w:ascii="Arial" w:hAnsi="Arial" w:cs="Arial"/>
              </w:rPr>
              <w:instrText xml:space="preserve"> FORMTEXT </w:instrText>
            </w:r>
            <w:r w:rsidRPr="00EA3F04">
              <w:rPr>
                <w:rFonts w:ascii="Arial" w:hAnsi="Arial" w:cs="Arial"/>
              </w:rPr>
            </w:r>
            <w:r w:rsidRPr="00EA3F04">
              <w:rPr>
                <w:rFonts w:ascii="Arial" w:hAnsi="Arial" w:cs="Arial"/>
              </w:rPr>
              <w:fldChar w:fldCharType="separate"/>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rPr>
              <w:fldChar w:fldCharType="end"/>
            </w:r>
            <w:bookmarkEnd w:id="6"/>
          </w:p>
        </w:tc>
      </w:tr>
      <w:tr w:rsidR="00EA3F04" w:rsidRPr="00EA3F04" w:rsidTr="004E1105">
        <w:tc>
          <w:tcPr>
            <w:tcW w:w="1750" w:type="dxa"/>
            <w:gridSpan w:val="2"/>
            <w:tcBorders>
              <w:top w:val="nil"/>
              <w:left w:val="single" w:sz="4" w:space="0" w:color="auto"/>
              <w:bottom w:val="nil"/>
              <w:right w:val="nil"/>
            </w:tcBorders>
            <w:vAlign w:val="center"/>
          </w:tcPr>
          <w:p w:rsidR="00EA3F04" w:rsidRPr="00EA3F04" w:rsidRDefault="00EA3F04" w:rsidP="00EA3F04">
            <w:pPr>
              <w:jc w:val="right"/>
              <w:rPr>
                <w:rFonts w:ascii="Arial" w:hAnsi="Arial" w:cs="Arial"/>
              </w:rPr>
            </w:pPr>
            <w:r w:rsidRPr="00EA3F04">
              <w:rPr>
                <w:rFonts w:ascii="Arial" w:hAnsi="Arial" w:cs="Arial"/>
              </w:rPr>
              <w:t>Phone:</w:t>
            </w:r>
          </w:p>
        </w:tc>
        <w:bookmarkStart w:id="7" w:name="Text9"/>
        <w:tc>
          <w:tcPr>
            <w:tcW w:w="7730" w:type="dxa"/>
            <w:gridSpan w:val="3"/>
            <w:tcBorders>
              <w:top w:val="nil"/>
              <w:left w:val="nil"/>
              <w:bottom w:val="nil"/>
              <w:right w:val="single" w:sz="4" w:space="0" w:color="auto"/>
            </w:tcBorders>
            <w:vAlign w:val="center"/>
          </w:tcPr>
          <w:p w:rsidR="00EA3F04" w:rsidRPr="00EA3F04" w:rsidRDefault="00EA3F04" w:rsidP="00EA3F04">
            <w:pPr>
              <w:rPr>
                <w:rFonts w:ascii="Arial" w:hAnsi="Arial" w:cs="Arial"/>
              </w:rPr>
            </w:pPr>
            <w:r w:rsidRPr="00EA3F04">
              <w:rPr>
                <w:rFonts w:ascii="Arial" w:hAnsi="Arial" w:cs="Arial"/>
              </w:rPr>
              <w:fldChar w:fldCharType="begin">
                <w:ffData>
                  <w:name w:val="Text9"/>
                  <w:enabled/>
                  <w:calcOnExit w:val="0"/>
                  <w:textInput>
                    <w:maxLength w:val="20"/>
                  </w:textInput>
                </w:ffData>
              </w:fldChar>
            </w:r>
            <w:r w:rsidRPr="00EA3F04">
              <w:rPr>
                <w:rFonts w:ascii="Arial" w:hAnsi="Arial" w:cs="Arial"/>
              </w:rPr>
              <w:instrText xml:space="preserve"> FORMTEXT </w:instrText>
            </w:r>
            <w:r w:rsidRPr="00EA3F04">
              <w:rPr>
                <w:rFonts w:ascii="Arial" w:hAnsi="Arial" w:cs="Arial"/>
              </w:rPr>
            </w:r>
            <w:r w:rsidRPr="00EA3F04">
              <w:rPr>
                <w:rFonts w:ascii="Arial" w:hAnsi="Arial" w:cs="Arial"/>
              </w:rPr>
              <w:fldChar w:fldCharType="separate"/>
            </w:r>
            <w:r w:rsidRPr="00EA3F04">
              <w:rPr>
                <w:rFonts w:ascii="Arial" w:hAnsi="Arial" w:cs="Arial"/>
              </w:rPr>
              <w:t> </w:t>
            </w:r>
            <w:r w:rsidRPr="00EA3F04">
              <w:rPr>
                <w:rFonts w:ascii="Arial" w:hAnsi="Arial" w:cs="Arial"/>
              </w:rPr>
              <w:t> </w:t>
            </w:r>
            <w:r w:rsidRPr="00EA3F04">
              <w:rPr>
                <w:rFonts w:ascii="Arial" w:hAnsi="Arial" w:cs="Arial"/>
              </w:rPr>
              <w:t> </w:t>
            </w:r>
            <w:r w:rsidRPr="00EA3F04">
              <w:rPr>
                <w:rFonts w:ascii="Arial" w:hAnsi="Arial" w:cs="Arial"/>
              </w:rPr>
              <w:t> </w:t>
            </w:r>
            <w:r w:rsidRPr="00EA3F04">
              <w:rPr>
                <w:rFonts w:ascii="Arial" w:hAnsi="Arial" w:cs="Arial"/>
              </w:rPr>
              <w:t> </w:t>
            </w:r>
            <w:r w:rsidRPr="00EA3F04">
              <w:rPr>
                <w:rFonts w:ascii="Arial" w:hAnsi="Arial" w:cs="Arial"/>
              </w:rPr>
              <w:fldChar w:fldCharType="end"/>
            </w:r>
            <w:bookmarkEnd w:id="7"/>
          </w:p>
        </w:tc>
      </w:tr>
      <w:tr w:rsidR="00EA3F04" w:rsidRPr="00EA3F04" w:rsidTr="004E1105">
        <w:tc>
          <w:tcPr>
            <w:tcW w:w="1750" w:type="dxa"/>
            <w:gridSpan w:val="2"/>
            <w:tcBorders>
              <w:top w:val="nil"/>
              <w:left w:val="single" w:sz="4" w:space="0" w:color="auto"/>
              <w:bottom w:val="nil"/>
              <w:right w:val="nil"/>
            </w:tcBorders>
            <w:vAlign w:val="center"/>
          </w:tcPr>
          <w:p w:rsidR="00EA3F04" w:rsidRPr="00EA3F04" w:rsidRDefault="00EA3F04" w:rsidP="00EA3F04">
            <w:pPr>
              <w:jc w:val="right"/>
              <w:rPr>
                <w:rFonts w:ascii="Arial" w:hAnsi="Arial" w:cs="Arial"/>
              </w:rPr>
            </w:pPr>
            <w:r w:rsidRPr="00EA3F04">
              <w:rPr>
                <w:rFonts w:ascii="Arial" w:hAnsi="Arial" w:cs="Arial"/>
              </w:rPr>
              <w:t>E-mail:</w:t>
            </w:r>
          </w:p>
        </w:tc>
        <w:bookmarkStart w:id="8" w:name="Text10"/>
        <w:tc>
          <w:tcPr>
            <w:tcW w:w="7730" w:type="dxa"/>
            <w:gridSpan w:val="3"/>
            <w:tcBorders>
              <w:top w:val="nil"/>
              <w:left w:val="nil"/>
              <w:bottom w:val="nil"/>
              <w:right w:val="single" w:sz="4" w:space="0" w:color="auto"/>
            </w:tcBorders>
            <w:vAlign w:val="center"/>
          </w:tcPr>
          <w:p w:rsidR="00EA3F04" w:rsidRPr="00EA3F04" w:rsidRDefault="00EA3F04" w:rsidP="00EA3F04">
            <w:pPr>
              <w:rPr>
                <w:rFonts w:ascii="Arial" w:hAnsi="Arial" w:cs="Arial"/>
              </w:rPr>
            </w:pPr>
            <w:r w:rsidRPr="00EA3F04">
              <w:rPr>
                <w:rFonts w:ascii="Arial" w:hAnsi="Arial" w:cs="Arial"/>
              </w:rPr>
              <w:fldChar w:fldCharType="begin">
                <w:ffData>
                  <w:name w:val="Text10"/>
                  <w:enabled/>
                  <w:calcOnExit w:val="0"/>
                  <w:textInput>
                    <w:maxLength w:val="60"/>
                  </w:textInput>
                </w:ffData>
              </w:fldChar>
            </w:r>
            <w:r w:rsidRPr="00EA3F04">
              <w:rPr>
                <w:rFonts w:ascii="Arial" w:hAnsi="Arial" w:cs="Arial"/>
              </w:rPr>
              <w:instrText xml:space="preserve"> FORMTEXT </w:instrText>
            </w:r>
            <w:r w:rsidRPr="00EA3F04">
              <w:rPr>
                <w:rFonts w:ascii="Arial" w:hAnsi="Arial" w:cs="Arial"/>
              </w:rPr>
            </w:r>
            <w:r w:rsidRPr="00EA3F04">
              <w:rPr>
                <w:rFonts w:ascii="Arial" w:hAnsi="Arial" w:cs="Arial"/>
              </w:rPr>
              <w:fldChar w:fldCharType="separate"/>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rPr>
              <w:fldChar w:fldCharType="end"/>
            </w:r>
            <w:bookmarkEnd w:id="8"/>
          </w:p>
        </w:tc>
      </w:tr>
      <w:tr w:rsidR="00EA3F04" w:rsidRPr="00EA3F04" w:rsidTr="004E1105">
        <w:trPr>
          <w:trHeight w:val="594"/>
        </w:trPr>
        <w:tc>
          <w:tcPr>
            <w:tcW w:w="1750" w:type="dxa"/>
            <w:gridSpan w:val="2"/>
            <w:tcBorders>
              <w:top w:val="nil"/>
              <w:left w:val="single" w:sz="4" w:space="0" w:color="auto"/>
              <w:bottom w:val="single" w:sz="4" w:space="0" w:color="auto"/>
              <w:right w:val="nil"/>
            </w:tcBorders>
          </w:tcPr>
          <w:p w:rsidR="00EA3F04" w:rsidRPr="00EA3F04" w:rsidRDefault="00EA3F04" w:rsidP="00EA3F04">
            <w:pPr>
              <w:jc w:val="right"/>
              <w:rPr>
                <w:rFonts w:ascii="Arial" w:hAnsi="Arial" w:cs="Arial"/>
              </w:rPr>
            </w:pPr>
            <w:r w:rsidRPr="00EA3F04">
              <w:rPr>
                <w:rFonts w:ascii="Arial" w:hAnsi="Arial" w:cs="Arial"/>
              </w:rPr>
              <w:t>Federal Link:</w:t>
            </w:r>
            <w:r w:rsidRPr="00EA3F04">
              <w:rPr>
                <w:rFonts w:ascii="Arial" w:hAnsi="Arial" w:cs="Arial"/>
              </w:rPr>
              <w:br/>
              <w:t>(if non-Federal)</w:t>
            </w:r>
          </w:p>
        </w:tc>
        <w:tc>
          <w:tcPr>
            <w:tcW w:w="7730" w:type="dxa"/>
            <w:gridSpan w:val="3"/>
            <w:tcBorders>
              <w:top w:val="nil"/>
              <w:left w:val="nil"/>
              <w:bottom w:val="single" w:sz="4" w:space="0" w:color="auto"/>
              <w:right w:val="single" w:sz="4" w:space="0" w:color="auto"/>
            </w:tcBorders>
            <w:vAlign w:val="center"/>
          </w:tcPr>
          <w:p w:rsidR="00EA3F04" w:rsidRPr="00EA3F04" w:rsidRDefault="00EA3F04" w:rsidP="00EA3F04">
            <w:pPr>
              <w:rPr>
                <w:rFonts w:ascii="Arial" w:hAnsi="Arial" w:cs="Arial"/>
              </w:rPr>
            </w:pPr>
          </w:p>
          <w:bookmarkStart w:id="9" w:name="Text20"/>
          <w:p w:rsidR="00EA3F04" w:rsidRPr="00EA3F04" w:rsidRDefault="00EA3F04" w:rsidP="00EA3F04">
            <w:pPr>
              <w:rPr>
                <w:rFonts w:ascii="Arial" w:hAnsi="Arial" w:cs="Arial"/>
              </w:rPr>
            </w:pPr>
            <w:r w:rsidRPr="00EA3F04">
              <w:rPr>
                <w:rFonts w:ascii="Arial" w:hAnsi="Arial" w:cs="Arial"/>
              </w:rPr>
              <w:fldChar w:fldCharType="begin">
                <w:ffData>
                  <w:name w:val="Text20"/>
                  <w:enabled/>
                  <w:calcOnExit w:val="0"/>
                  <w:textInput>
                    <w:maxLength w:val="250"/>
                  </w:textInput>
                </w:ffData>
              </w:fldChar>
            </w:r>
            <w:r w:rsidRPr="00EA3F04">
              <w:rPr>
                <w:rFonts w:ascii="Arial" w:hAnsi="Arial" w:cs="Arial"/>
              </w:rPr>
              <w:instrText xml:space="preserve"> FORMTEXT </w:instrText>
            </w:r>
            <w:r w:rsidRPr="00EA3F04">
              <w:rPr>
                <w:rFonts w:ascii="Arial" w:hAnsi="Arial" w:cs="Arial"/>
              </w:rPr>
            </w:r>
            <w:r w:rsidRPr="00EA3F04">
              <w:rPr>
                <w:rFonts w:ascii="Arial" w:hAnsi="Arial" w:cs="Arial"/>
              </w:rPr>
              <w:fldChar w:fldCharType="separate"/>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rPr>
              <w:fldChar w:fldCharType="end"/>
            </w:r>
            <w:bookmarkEnd w:id="9"/>
          </w:p>
          <w:p w:rsidR="00EA3F04" w:rsidRPr="00EA3F04" w:rsidRDefault="00EA3F04" w:rsidP="00EA3F04">
            <w:pPr>
              <w:rPr>
                <w:rFonts w:ascii="Arial" w:hAnsi="Arial" w:cs="Arial"/>
              </w:rPr>
            </w:pPr>
          </w:p>
        </w:tc>
      </w:tr>
      <w:tr w:rsidR="00EA3F04" w:rsidRPr="00EA3F04" w:rsidTr="004E1105">
        <w:tblPrEx>
          <w:tblBorders>
            <w:insideV w:val="none" w:sz="0" w:space="0" w:color="auto"/>
          </w:tblBorders>
        </w:tblPrEx>
        <w:tc>
          <w:tcPr>
            <w:tcW w:w="9480" w:type="dxa"/>
            <w:gridSpan w:val="5"/>
            <w:tcBorders>
              <w:top w:val="single" w:sz="4" w:space="0" w:color="auto"/>
            </w:tcBorders>
            <w:shd w:val="clear" w:color="auto" w:fill="C0C0C0"/>
            <w:vAlign w:val="center"/>
          </w:tcPr>
          <w:p w:rsidR="00EA3F04" w:rsidRPr="00EA3F04" w:rsidRDefault="00EA3F04" w:rsidP="00EA3F04">
            <w:pPr>
              <w:spacing w:before="120"/>
              <w:rPr>
                <w:rFonts w:ascii="Arial" w:hAnsi="Arial" w:cs="Arial"/>
                <w:b/>
              </w:rPr>
            </w:pPr>
            <w:r w:rsidRPr="00EA3F04">
              <w:rPr>
                <w:rFonts w:ascii="Arial" w:hAnsi="Arial" w:cs="Arial"/>
                <w:b/>
              </w:rPr>
              <w:t>PRESENTER BIO</w:t>
            </w:r>
          </w:p>
          <w:p w:rsidR="00EA3F04" w:rsidRPr="00EA3F04" w:rsidRDefault="00EA3F04" w:rsidP="00B421C7">
            <w:pPr>
              <w:rPr>
                <w:rFonts w:ascii="Arial" w:hAnsi="Arial" w:cs="Arial"/>
              </w:rPr>
            </w:pPr>
            <w:r w:rsidRPr="00EA3F04">
              <w:rPr>
                <w:rFonts w:ascii="Arial" w:hAnsi="Arial" w:cs="Arial"/>
              </w:rPr>
              <w:t>Please provide a brief description of your current position, background, experience (</w:t>
            </w:r>
            <w:r w:rsidR="00A9295E">
              <w:rPr>
                <w:rFonts w:ascii="Arial" w:hAnsi="Arial" w:cs="Arial"/>
              </w:rPr>
              <w:t>120-word</w:t>
            </w:r>
            <w:r w:rsidRPr="00EA3F04">
              <w:rPr>
                <w:rFonts w:ascii="Arial" w:hAnsi="Arial" w:cs="Arial"/>
              </w:rPr>
              <w:t xml:space="preserve"> limit)</w:t>
            </w:r>
          </w:p>
        </w:tc>
      </w:tr>
      <w:tr w:rsidR="00EA3F04" w:rsidRPr="00EA3F04" w:rsidTr="004E1105">
        <w:tblPrEx>
          <w:tblBorders>
            <w:insideV w:val="none" w:sz="0" w:space="0" w:color="auto"/>
          </w:tblBorders>
        </w:tblPrEx>
        <w:trPr>
          <w:trHeight w:val="611"/>
        </w:trPr>
        <w:tc>
          <w:tcPr>
            <w:tcW w:w="1750" w:type="dxa"/>
            <w:gridSpan w:val="2"/>
          </w:tcPr>
          <w:p w:rsidR="00EA3F04" w:rsidRPr="00EA3F04" w:rsidRDefault="00EA3F04" w:rsidP="00EA3F04">
            <w:pPr>
              <w:spacing w:before="120"/>
              <w:jc w:val="right"/>
              <w:rPr>
                <w:rFonts w:ascii="Arial" w:hAnsi="Arial" w:cs="Arial"/>
              </w:rPr>
            </w:pPr>
            <w:r w:rsidRPr="00EA3F04">
              <w:rPr>
                <w:rFonts w:ascii="Arial" w:hAnsi="Arial" w:cs="Arial"/>
              </w:rPr>
              <w:t>Bio:</w:t>
            </w:r>
          </w:p>
        </w:tc>
        <w:bookmarkStart w:id="10" w:name="Text19"/>
        <w:tc>
          <w:tcPr>
            <w:tcW w:w="7730" w:type="dxa"/>
            <w:gridSpan w:val="3"/>
          </w:tcPr>
          <w:p w:rsidR="00EA3F04" w:rsidRPr="00EA3F04" w:rsidRDefault="00EA3F04" w:rsidP="00EA3F04">
            <w:pPr>
              <w:spacing w:before="120"/>
              <w:rPr>
                <w:rFonts w:ascii="Arial" w:hAnsi="Arial" w:cs="Arial"/>
              </w:rPr>
            </w:pPr>
            <w:r w:rsidRPr="00EA3F04">
              <w:rPr>
                <w:rFonts w:ascii="Arial" w:hAnsi="Arial" w:cs="Arial"/>
              </w:rPr>
              <w:fldChar w:fldCharType="begin">
                <w:ffData>
                  <w:name w:val="Text19"/>
                  <w:enabled/>
                  <w:calcOnExit w:val="0"/>
                  <w:textInput>
                    <w:maxLength w:val="750"/>
                  </w:textInput>
                </w:ffData>
              </w:fldChar>
            </w:r>
            <w:r w:rsidRPr="00EA3F04">
              <w:rPr>
                <w:rFonts w:ascii="Arial" w:hAnsi="Arial" w:cs="Arial"/>
              </w:rPr>
              <w:instrText xml:space="preserve"> FORMTEXT </w:instrText>
            </w:r>
            <w:r w:rsidRPr="00EA3F04">
              <w:rPr>
                <w:rFonts w:ascii="Arial" w:hAnsi="Arial" w:cs="Arial"/>
              </w:rPr>
            </w:r>
            <w:r w:rsidRPr="00EA3F04">
              <w:rPr>
                <w:rFonts w:ascii="Arial" w:hAnsi="Arial" w:cs="Arial"/>
              </w:rPr>
              <w:fldChar w:fldCharType="separate"/>
            </w:r>
            <w:r w:rsidRPr="00EA3F04">
              <w:rPr>
                <w:rFonts w:ascii="Arial" w:hAnsi="Arial" w:cs="Arial"/>
              </w:rPr>
              <w:t> </w:t>
            </w:r>
            <w:r w:rsidRPr="00EA3F04">
              <w:rPr>
                <w:rFonts w:ascii="Arial" w:hAnsi="Arial" w:cs="Arial"/>
              </w:rPr>
              <w:t> </w:t>
            </w:r>
            <w:r w:rsidRPr="00EA3F04">
              <w:rPr>
                <w:rFonts w:ascii="Arial" w:hAnsi="Arial" w:cs="Arial"/>
              </w:rPr>
              <w:t> </w:t>
            </w:r>
            <w:r w:rsidRPr="00EA3F04">
              <w:rPr>
                <w:rFonts w:ascii="Arial" w:hAnsi="Arial" w:cs="Arial"/>
              </w:rPr>
              <w:t> </w:t>
            </w:r>
            <w:r w:rsidRPr="00EA3F04">
              <w:rPr>
                <w:rFonts w:ascii="Arial" w:hAnsi="Arial" w:cs="Arial"/>
              </w:rPr>
              <w:t> </w:t>
            </w:r>
            <w:r w:rsidRPr="00EA3F04">
              <w:rPr>
                <w:rFonts w:ascii="Arial" w:hAnsi="Arial" w:cs="Arial"/>
              </w:rPr>
              <w:fldChar w:fldCharType="end"/>
            </w:r>
            <w:bookmarkEnd w:id="10"/>
          </w:p>
          <w:p w:rsidR="00EA3F04" w:rsidRPr="00EA3F04" w:rsidRDefault="00EA3F04" w:rsidP="00EA3F04">
            <w:pPr>
              <w:rPr>
                <w:rFonts w:ascii="Arial" w:hAnsi="Arial" w:cs="Arial"/>
              </w:rPr>
            </w:pPr>
          </w:p>
          <w:p w:rsidR="00EA3F04" w:rsidRPr="00EA3F04" w:rsidRDefault="00EA3F04" w:rsidP="00EA3F04">
            <w:pPr>
              <w:rPr>
                <w:rFonts w:ascii="Arial" w:hAnsi="Arial" w:cs="Arial"/>
              </w:rPr>
            </w:pPr>
          </w:p>
        </w:tc>
      </w:tr>
      <w:tr w:rsidR="00EA3F04" w:rsidRPr="00EA3F04" w:rsidTr="004E1105">
        <w:tc>
          <w:tcPr>
            <w:tcW w:w="948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EA3F04" w:rsidRPr="00EA3F04" w:rsidRDefault="00A9295E" w:rsidP="00EA3F04">
            <w:pPr>
              <w:spacing w:before="120"/>
              <w:rPr>
                <w:rFonts w:ascii="Arial" w:hAnsi="Arial" w:cs="Arial"/>
                <w:b/>
              </w:rPr>
            </w:pPr>
            <w:r w:rsidRPr="00EA3F04">
              <w:rPr>
                <w:rFonts w:ascii="Arial" w:hAnsi="Arial" w:cs="Arial"/>
                <w:b/>
              </w:rPr>
              <w:t>PRESENTATION FORMAT</w:t>
            </w:r>
            <w:r w:rsidR="00EA3F04" w:rsidRPr="00EA3F04">
              <w:rPr>
                <w:rFonts w:ascii="Arial" w:hAnsi="Arial" w:cs="Arial"/>
                <w:b/>
              </w:rPr>
              <w:t xml:space="preserve"> (Check only one)</w:t>
            </w:r>
          </w:p>
          <w:p w:rsidR="00EA3F04" w:rsidRPr="00EA3F04" w:rsidRDefault="00EA3F04" w:rsidP="00EA3F04">
            <w:pPr>
              <w:rPr>
                <w:rFonts w:ascii="Arial" w:hAnsi="Arial" w:cs="Arial"/>
              </w:rPr>
            </w:pPr>
            <w:r w:rsidRPr="00EA3F04">
              <w:rPr>
                <w:rFonts w:ascii="Arial" w:hAnsi="Arial" w:cs="Arial"/>
              </w:rPr>
              <w:t xml:space="preserve">Choose a format below.  If you are not yet sure of your presentation format, please make a best guess.  If necessary, you may contact the planning team at a later date and discuss changes to your format.  Please refer to Page 2 for a description of these formats.  </w:t>
            </w:r>
          </w:p>
        </w:tc>
      </w:tr>
      <w:tr w:rsidR="00EA3F04" w:rsidRPr="00EA3F04" w:rsidTr="004E1105">
        <w:tc>
          <w:tcPr>
            <w:tcW w:w="960" w:type="dxa"/>
            <w:tcBorders>
              <w:top w:val="nil"/>
              <w:left w:val="single" w:sz="4" w:space="0" w:color="auto"/>
              <w:bottom w:val="nil"/>
              <w:right w:val="nil"/>
            </w:tcBorders>
          </w:tcPr>
          <w:p w:rsidR="00EA3F04" w:rsidRPr="00EA3F04" w:rsidRDefault="00EA3F04" w:rsidP="00EA3F04">
            <w:pPr>
              <w:jc w:val="right"/>
              <w:rPr>
                <w:rFonts w:ascii="Arial" w:hAnsi="Arial" w:cs="Arial"/>
              </w:rPr>
            </w:pPr>
            <w:r w:rsidRPr="00EA3F04">
              <w:rPr>
                <w:rFonts w:ascii="Arial" w:hAnsi="Arial" w:cs="Arial"/>
              </w:rPr>
              <w:fldChar w:fldCharType="begin">
                <w:ffData>
                  <w:name w:val="Check3"/>
                  <w:enabled/>
                  <w:calcOnExit w:val="0"/>
                  <w:checkBox>
                    <w:sizeAuto/>
                    <w:default w:val="0"/>
                    <w:checked w:val="0"/>
                  </w:checkBox>
                </w:ffData>
              </w:fldChar>
            </w:r>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p>
        </w:tc>
        <w:tc>
          <w:tcPr>
            <w:tcW w:w="8520" w:type="dxa"/>
            <w:gridSpan w:val="4"/>
            <w:tcBorders>
              <w:top w:val="nil"/>
              <w:left w:val="nil"/>
              <w:bottom w:val="nil"/>
              <w:right w:val="single" w:sz="4" w:space="0" w:color="auto"/>
            </w:tcBorders>
            <w:vAlign w:val="center"/>
          </w:tcPr>
          <w:p w:rsidR="00EA3F04" w:rsidRPr="00EA3F04" w:rsidRDefault="00EA3F04" w:rsidP="00EA3F04">
            <w:pPr>
              <w:rPr>
                <w:rFonts w:ascii="Arial" w:hAnsi="Arial" w:cs="Arial"/>
              </w:rPr>
            </w:pPr>
            <w:r w:rsidRPr="00EA3F04">
              <w:rPr>
                <w:rFonts w:ascii="Arial" w:hAnsi="Arial" w:cs="Arial"/>
              </w:rPr>
              <w:t>30 Minute Presentation</w:t>
            </w:r>
          </w:p>
        </w:tc>
      </w:tr>
      <w:tr w:rsidR="00EA3F04" w:rsidRPr="00EA3F04" w:rsidTr="004E1105">
        <w:tc>
          <w:tcPr>
            <w:tcW w:w="960" w:type="dxa"/>
            <w:tcBorders>
              <w:top w:val="nil"/>
              <w:left w:val="single" w:sz="4" w:space="0" w:color="auto"/>
              <w:bottom w:val="nil"/>
              <w:right w:val="nil"/>
            </w:tcBorders>
          </w:tcPr>
          <w:p w:rsidR="00EA3F04" w:rsidRPr="00EA3F04" w:rsidRDefault="00EA3F04" w:rsidP="00EA3F04">
            <w:pPr>
              <w:jc w:val="right"/>
              <w:rPr>
                <w:rFonts w:ascii="Arial" w:hAnsi="Arial" w:cs="Arial"/>
              </w:rPr>
            </w:pPr>
            <w:r w:rsidRPr="00EA3F04">
              <w:rPr>
                <w:rFonts w:ascii="Arial" w:hAnsi="Arial" w:cs="Arial"/>
              </w:rPr>
              <w:fldChar w:fldCharType="begin">
                <w:ffData>
                  <w:name w:val="Check4"/>
                  <w:enabled/>
                  <w:calcOnExit w:val="0"/>
                  <w:checkBox>
                    <w:sizeAuto/>
                    <w:default w:val="0"/>
                  </w:checkBox>
                </w:ffData>
              </w:fldChar>
            </w:r>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p>
        </w:tc>
        <w:tc>
          <w:tcPr>
            <w:tcW w:w="8520" w:type="dxa"/>
            <w:gridSpan w:val="4"/>
            <w:tcBorders>
              <w:top w:val="nil"/>
              <w:left w:val="nil"/>
              <w:bottom w:val="nil"/>
              <w:right w:val="single" w:sz="4" w:space="0" w:color="auto"/>
            </w:tcBorders>
            <w:vAlign w:val="center"/>
          </w:tcPr>
          <w:p w:rsidR="00EA3F04" w:rsidRPr="00EA3F04" w:rsidRDefault="00EA3F04" w:rsidP="00EA3F04">
            <w:pPr>
              <w:rPr>
                <w:rFonts w:ascii="Arial" w:hAnsi="Arial" w:cs="Arial"/>
              </w:rPr>
            </w:pPr>
            <w:r w:rsidRPr="00EA3F04">
              <w:rPr>
                <w:rFonts w:ascii="Arial" w:hAnsi="Arial" w:cs="Arial"/>
              </w:rPr>
              <w:t>60 Minute Panel Discussion</w:t>
            </w:r>
          </w:p>
        </w:tc>
      </w:tr>
      <w:tr w:rsidR="00EA3F04" w:rsidRPr="00EA3F04" w:rsidTr="004E1105">
        <w:tc>
          <w:tcPr>
            <w:tcW w:w="960" w:type="dxa"/>
            <w:tcBorders>
              <w:top w:val="nil"/>
              <w:left w:val="single" w:sz="4" w:space="0" w:color="auto"/>
              <w:bottom w:val="nil"/>
              <w:right w:val="nil"/>
            </w:tcBorders>
          </w:tcPr>
          <w:p w:rsidR="00EA3F04" w:rsidRPr="00EA3F04" w:rsidRDefault="00EA3F04" w:rsidP="00EA3F04">
            <w:pPr>
              <w:spacing w:after="120"/>
              <w:jc w:val="right"/>
              <w:rPr>
                <w:rFonts w:ascii="Arial" w:hAnsi="Arial" w:cs="Arial"/>
              </w:rPr>
            </w:pPr>
            <w:r w:rsidRPr="00EA3F04">
              <w:rPr>
                <w:rFonts w:ascii="Arial" w:hAnsi="Arial" w:cs="Arial"/>
              </w:rPr>
              <w:fldChar w:fldCharType="begin">
                <w:ffData>
                  <w:name w:val="Check5"/>
                  <w:enabled/>
                  <w:calcOnExit w:val="0"/>
                  <w:checkBox>
                    <w:sizeAuto/>
                    <w:default w:val="0"/>
                  </w:checkBox>
                </w:ffData>
              </w:fldChar>
            </w:r>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p>
        </w:tc>
        <w:tc>
          <w:tcPr>
            <w:tcW w:w="8520" w:type="dxa"/>
            <w:gridSpan w:val="4"/>
            <w:tcBorders>
              <w:top w:val="nil"/>
              <w:left w:val="nil"/>
              <w:bottom w:val="nil"/>
              <w:right w:val="single" w:sz="4" w:space="0" w:color="auto"/>
            </w:tcBorders>
            <w:vAlign w:val="center"/>
          </w:tcPr>
          <w:p w:rsidR="00EA3F04" w:rsidRPr="00EA3F04" w:rsidRDefault="00EA3F04" w:rsidP="00EA3F04">
            <w:pPr>
              <w:spacing w:after="120"/>
              <w:rPr>
                <w:rFonts w:ascii="Arial" w:hAnsi="Arial" w:cs="Arial"/>
              </w:rPr>
            </w:pPr>
            <w:r w:rsidRPr="00EA3F04">
              <w:rPr>
                <w:rFonts w:ascii="Arial" w:hAnsi="Arial" w:cs="Arial"/>
              </w:rPr>
              <w:t>90 Minute Training Workshop</w:t>
            </w:r>
          </w:p>
        </w:tc>
      </w:tr>
      <w:tr w:rsidR="00EA3F04" w:rsidRPr="00EA3F04" w:rsidTr="004E1105">
        <w:tblPrEx>
          <w:tblBorders>
            <w:insideH w:val="none" w:sz="0" w:space="0" w:color="auto"/>
            <w:insideV w:val="none" w:sz="0" w:space="0" w:color="auto"/>
          </w:tblBorders>
          <w:tblCellMar>
            <w:left w:w="108" w:type="dxa"/>
            <w:right w:w="108" w:type="dxa"/>
          </w:tblCellMar>
        </w:tblPrEx>
        <w:tc>
          <w:tcPr>
            <w:tcW w:w="9480" w:type="dxa"/>
            <w:gridSpan w:val="5"/>
            <w:tcBorders>
              <w:top w:val="single" w:sz="4" w:space="0" w:color="auto"/>
              <w:bottom w:val="single" w:sz="4" w:space="0" w:color="auto"/>
            </w:tcBorders>
            <w:shd w:val="clear" w:color="auto" w:fill="C0C0C0"/>
          </w:tcPr>
          <w:p w:rsidR="00EA3F04" w:rsidRPr="00EA3F04" w:rsidRDefault="00A9295E" w:rsidP="00EA3F04">
            <w:pPr>
              <w:spacing w:before="120"/>
              <w:rPr>
                <w:rFonts w:ascii="Arial" w:hAnsi="Arial" w:cs="Arial"/>
                <w:b/>
              </w:rPr>
            </w:pPr>
            <w:r w:rsidRPr="00EA3F04">
              <w:rPr>
                <w:rFonts w:ascii="Arial" w:hAnsi="Arial" w:cs="Arial"/>
                <w:b/>
              </w:rPr>
              <w:t>PRESENTATION CATEGORY</w:t>
            </w:r>
            <w:r w:rsidR="00EA3F04" w:rsidRPr="00EA3F04">
              <w:rPr>
                <w:rFonts w:ascii="Arial" w:hAnsi="Arial" w:cs="Arial"/>
                <w:b/>
              </w:rPr>
              <w:t xml:space="preserve"> (Check only one)</w:t>
            </w:r>
          </w:p>
          <w:p w:rsidR="00EA3F04" w:rsidRPr="00EA3F04" w:rsidRDefault="00EA3F04" w:rsidP="00984D79">
            <w:pPr>
              <w:rPr>
                <w:rFonts w:ascii="Arial" w:hAnsi="Arial" w:cs="Arial"/>
              </w:rPr>
            </w:pPr>
            <w:r w:rsidRPr="00EA3F04">
              <w:rPr>
                <w:rFonts w:ascii="Arial" w:hAnsi="Arial" w:cs="Arial"/>
              </w:rPr>
              <w:t xml:space="preserve">Choose an appropriate category for your presentation.  If your presentation covers multiple areas, choose the predominant one below and then describe the full scope in the </w:t>
            </w:r>
            <w:r w:rsidRPr="00EA3F04">
              <w:rPr>
                <w:rFonts w:ascii="Arial" w:hAnsi="Arial" w:cs="Arial"/>
                <w:i/>
              </w:rPr>
              <w:t>Presentation Abstract</w:t>
            </w:r>
            <w:r w:rsidRPr="00EA3F04">
              <w:rPr>
                <w:rFonts w:ascii="Arial" w:hAnsi="Arial" w:cs="Arial"/>
              </w:rPr>
              <w:t xml:space="preserve"> section below.  Please see Pages </w:t>
            </w:r>
            <w:r w:rsidR="00984D79">
              <w:rPr>
                <w:rFonts w:ascii="Arial" w:hAnsi="Arial" w:cs="Arial"/>
              </w:rPr>
              <w:t>3</w:t>
            </w:r>
            <w:r w:rsidR="008B0CED">
              <w:rPr>
                <w:rFonts w:ascii="Arial" w:hAnsi="Arial" w:cs="Arial"/>
              </w:rPr>
              <w:t xml:space="preserve">-5 </w:t>
            </w:r>
            <w:r w:rsidRPr="00EA3F04">
              <w:rPr>
                <w:rFonts w:ascii="Arial" w:hAnsi="Arial" w:cs="Arial"/>
              </w:rPr>
              <w:t>for examples of topics in each of these categories:</w:t>
            </w:r>
          </w:p>
        </w:tc>
      </w:tr>
      <w:tr w:rsidR="00EA3F04" w:rsidRPr="00EA3F04" w:rsidTr="004E1105">
        <w:tblPrEx>
          <w:tblBorders>
            <w:insideH w:val="none" w:sz="0" w:space="0" w:color="auto"/>
            <w:insideV w:val="none" w:sz="0" w:space="0" w:color="auto"/>
          </w:tblBorders>
          <w:tblCellMar>
            <w:left w:w="108" w:type="dxa"/>
            <w:right w:w="108" w:type="dxa"/>
          </w:tblCellMar>
        </w:tblPrEx>
        <w:tc>
          <w:tcPr>
            <w:tcW w:w="960" w:type="dxa"/>
            <w:tcBorders>
              <w:top w:val="nil"/>
              <w:bottom w:val="nil"/>
            </w:tcBorders>
          </w:tcPr>
          <w:p w:rsidR="00EA3F04" w:rsidRPr="00EA3F04" w:rsidRDefault="00EA3F04" w:rsidP="00EA3F04">
            <w:pPr>
              <w:spacing w:before="120"/>
              <w:jc w:val="right"/>
              <w:rPr>
                <w:rFonts w:ascii="Arial" w:hAnsi="Arial" w:cs="Arial"/>
              </w:rPr>
            </w:pPr>
            <w:r w:rsidRPr="00EA3F04">
              <w:rPr>
                <w:rFonts w:ascii="Arial" w:hAnsi="Arial" w:cs="Arial"/>
              </w:rPr>
              <w:fldChar w:fldCharType="begin">
                <w:ffData>
                  <w:name w:val="Check12"/>
                  <w:enabled/>
                  <w:calcOnExit w:val="0"/>
                  <w:checkBox>
                    <w:sizeAuto/>
                    <w:default w:val="0"/>
                  </w:checkBox>
                </w:ffData>
              </w:fldChar>
            </w:r>
            <w:bookmarkStart w:id="11" w:name="Check12"/>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bookmarkEnd w:id="11"/>
          </w:p>
        </w:tc>
        <w:tc>
          <w:tcPr>
            <w:tcW w:w="3960" w:type="dxa"/>
            <w:gridSpan w:val="2"/>
            <w:tcBorders>
              <w:top w:val="nil"/>
              <w:bottom w:val="nil"/>
            </w:tcBorders>
          </w:tcPr>
          <w:p w:rsidR="00EA3F04" w:rsidRPr="00EA3F04" w:rsidRDefault="00EA3F04" w:rsidP="00EA3F04">
            <w:pPr>
              <w:spacing w:before="120"/>
              <w:rPr>
                <w:rFonts w:ascii="Arial" w:hAnsi="Arial" w:cs="Arial"/>
              </w:rPr>
            </w:pPr>
            <w:r w:rsidRPr="00EA3F04">
              <w:rPr>
                <w:rFonts w:ascii="Arial" w:hAnsi="Arial" w:cs="Arial"/>
              </w:rPr>
              <w:t>Environmental Management Systems</w:t>
            </w:r>
          </w:p>
        </w:tc>
        <w:tc>
          <w:tcPr>
            <w:tcW w:w="1200" w:type="dxa"/>
            <w:tcBorders>
              <w:top w:val="nil"/>
              <w:bottom w:val="nil"/>
            </w:tcBorders>
          </w:tcPr>
          <w:p w:rsidR="00EA3F04" w:rsidRPr="00EA3F04" w:rsidRDefault="00EA3F04" w:rsidP="00EA3F04">
            <w:pPr>
              <w:spacing w:before="120"/>
              <w:jc w:val="right"/>
              <w:rPr>
                <w:rFonts w:ascii="Arial" w:hAnsi="Arial" w:cs="Arial"/>
              </w:rPr>
            </w:pPr>
            <w:r w:rsidRPr="00EA3F04">
              <w:rPr>
                <w:rFonts w:ascii="Arial" w:hAnsi="Arial" w:cs="Arial"/>
              </w:rPr>
              <w:fldChar w:fldCharType="begin">
                <w:ffData>
                  <w:name w:val="Check16"/>
                  <w:enabled/>
                  <w:calcOnExit w:val="0"/>
                  <w:checkBox>
                    <w:sizeAuto/>
                    <w:default w:val="0"/>
                  </w:checkBox>
                </w:ffData>
              </w:fldChar>
            </w:r>
            <w:bookmarkStart w:id="12" w:name="Check16"/>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bookmarkEnd w:id="12"/>
          </w:p>
        </w:tc>
        <w:tc>
          <w:tcPr>
            <w:tcW w:w="3360" w:type="dxa"/>
            <w:tcBorders>
              <w:top w:val="nil"/>
              <w:bottom w:val="nil"/>
            </w:tcBorders>
          </w:tcPr>
          <w:p w:rsidR="00EA3F04" w:rsidRPr="00EA3F04" w:rsidRDefault="005926F4" w:rsidP="00EA3F04">
            <w:pPr>
              <w:spacing w:before="120"/>
              <w:rPr>
                <w:rFonts w:ascii="Arial" w:hAnsi="Arial" w:cs="Arial"/>
              </w:rPr>
            </w:pPr>
            <w:r>
              <w:rPr>
                <w:rFonts w:ascii="Arial" w:hAnsi="Arial" w:cs="Arial"/>
              </w:rPr>
              <w:t>Sustainability</w:t>
            </w:r>
          </w:p>
        </w:tc>
      </w:tr>
      <w:tr w:rsidR="00EA3F04" w:rsidRPr="00EA3F04" w:rsidTr="004E1105">
        <w:tblPrEx>
          <w:tblBorders>
            <w:insideH w:val="none" w:sz="0" w:space="0" w:color="auto"/>
            <w:insideV w:val="none" w:sz="0" w:space="0" w:color="auto"/>
          </w:tblBorders>
          <w:tblCellMar>
            <w:left w:w="108" w:type="dxa"/>
            <w:right w:w="108" w:type="dxa"/>
          </w:tblCellMar>
        </w:tblPrEx>
        <w:tc>
          <w:tcPr>
            <w:tcW w:w="960" w:type="dxa"/>
            <w:tcBorders>
              <w:top w:val="nil"/>
              <w:bottom w:val="nil"/>
            </w:tcBorders>
          </w:tcPr>
          <w:p w:rsidR="00EA3F04" w:rsidRPr="00EA3F04" w:rsidRDefault="00EA3F04" w:rsidP="00EA3F04">
            <w:pPr>
              <w:jc w:val="right"/>
              <w:rPr>
                <w:rFonts w:ascii="Arial" w:hAnsi="Arial" w:cs="Arial"/>
              </w:rPr>
            </w:pPr>
            <w:r w:rsidRPr="00EA3F04">
              <w:rPr>
                <w:rFonts w:ascii="Arial" w:hAnsi="Arial" w:cs="Arial"/>
              </w:rPr>
              <w:fldChar w:fldCharType="begin">
                <w:ffData>
                  <w:name w:val="Check13"/>
                  <w:enabled/>
                  <w:calcOnExit w:val="0"/>
                  <w:checkBox>
                    <w:sizeAuto/>
                    <w:default w:val="0"/>
                    <w:checked w:val="0"/>
                  </w:checkBox>
                </w:ffData>
              </w:fldChar>
            </w:r>
            <w:bookmarkStart w:id="13" w:name="Check13"/>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bookmarkEnd w:id="13"/>
          </w:p>
        </w:tc>
        <w:tc>
          <w:tcPr>
            <w:tcW w:w="3960" w:type="dxa"/>
            <w:gridSpan w:val="2"/>
            <w:tcBorders>
              <w:top w:val="nil"/>
              <w:bottom w:val="nil"/>
            </w:tcBorders>
          </w:tcPr>
          <w:p w:rsidR="00EA3F04" w:rsidRPr="00EA3F04" w:rsidRDefault="005926F4" w:rsidP="00EA3F04">
            <w:pPr>
              <w:rPr>
                <w:rFonts w:ascii="Arial" w:hAnsi="Arial" w:cs="Arial"/>
              </w:rPr>
            </w:pPr>
            <w:r>
              <w:rPr>
                <w:rFonts w:ascii="Arial" w:hAnsi="Arial" w:cs="Arial"/>
              </w:rPr>
              <w:t>Environmental Compliance</w:t>
            </w:r>
          </w:p>
        </w:tc>
        <w:tc>
          <w:tcPr>
            <w:tcW w:w="1200" w:type="dxa"/>
            <w:tcBorders>
              <w:top w:val="nil"/>
              <w:bottom w:val="nil"/>
            </w:tcBorders>
          </w:tcPr>
          <w:p w:rsidR="00EA3F04" w:rsidRPr="00EA3F04" w:rsidRDefault="00EA3F04" w:rsidP="00EA3F04">
            <w:pPr>
              <w:jc w:val="right"/>
              <w:rPr>
                <w:rFonts w:ascii="Arial" w:hAnsi="Arial" w:cs="Arial"/>
              </w:rPr>
            </w:pPr>
            <w:r w:rsidRPr="00EA3F04">
              <w:rPr>
                <w:rFonts w:ascii="Arial" w:hAnsi="Arial" w:cs="Arial"/>
              </w:rPr>
              <w:fldChar w:fldCharType="begin">
                <w:ffData>
                  <w:name w:val="Check17"/>
                  <w:enabled/>
                  <w:calcOnExit w:val="0"/>
                  <w:checkBox>
                    <w:sizeAuto/>
                    <w:default w:val="0"/>
                  </w:checkBox>
                </w:ffData>
              </w:fldChar>
            </w:r>
            <w:bookmarkStart w:id="14" w:name="Check17"/>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bookmarkEnd w:id="14"/>
          </w:p>
        </w:tc>
        <w:tc>
          <w:tcPr>
            <w:tcW w:w="3360" w:type="dxa"/>
            <w:tcBorders>
              <w:top w:val="nil"/>
              <w:bottom w:val="nil"/>
            </w:tcBorders>
          </w:tcPr>
          <w:p w:rsidR="00EA3F04" w:rsidRPr="00EA3F04" w:rsidRDefault="005926F4" w:rsidP="00ED4588">
            <w:pPr>
              <w:rPr>
                <w:rFonts w:ascii="Arial" w:hAnsi="Arial" w:cs="Arial"/>
              </w:rPr>
            </w:pPr>
            <w:r w:rsidRPr="005926F4">
              <w:rPr>
                <w:rFonts w:ascii="Arial" w:hAnsi="Arial" w:cs="Arial"/>
              </w:rPr>
              <w:t xml:space="preserve">Energy and Water </w:t>
            </w:r>
            <w:r w:rsidR="00ED4588">
              <w:rPr>
                <w:rFonts w:ascii="Arial" w:hAnsi="Arial" w:cs="Arial"/>
              </w:rPr>
              <w:t>Efficiency</w:t>
            </w:r>
          </w:p>
        </w:tc>
      </w:tr>
      <w:tr w:rsidR="00EA3F04" w:rsidRPr="00EA3F04" w:rsidTr="004E1105">
        <w:tblPrEx>
          <w:tblBorders>
            <w:insideH w:val="none" w:sz="0" w:space="0" w:color="auto"/>
            <w:insideV w:val="none" w:sz="0" w:space="0" w:color="auto"/>
          </w:tblBorders>
          <w:tblCellMar>
            <w:left w:w="108" w:type="dxa"/>
            <w:right w:w="108" w:type="dxa"/>
          </w:tblCellMar>
        </w:tblPrEx>
        <w:tc>
          <w:tcPr>
            <w:tcW w:w="960" w:type="dxa"/>
            <w:tcBorders>
              <w:top w:val="nil"/>
              <w:bottom w:val="nil"/>
            </w:tcBorders>
          </w:tcPr>
          <w:p w:rsidR="00EA3F04" w:rsidRPr="00EA3F04" w:rsidRDefault="00EA3F04" w:rsidP="00EA3F04">
            <w:pPr>
              <w:jc w:val="right"/>
              <w:rPr>
                <w:rFonts w:ascii="Arial" w:hAnsi="Arial" w:cs="Arial"/>
              </w:rPr>
            </w:pPr>
            <w:r w:rsidRPr="00EA3F04">
              <w:rPr>
                <w:rFonts w:ascii="Arial" w:hAnsi="Arial" w:cs="Arial"/>
              </w:rPr>
              <w:fldChar w:fldCharType="begin">
                <w:ffData>
                  <w:name w:val="Check14"/>
                  <w:enabled/>
                  <w:calcOnExit w:val="0"/>
                  <w:checkBox>
                    <w:sizeAuto/>
                    <w:default w:val="0"/>
                  </w:checkBox>
                </w:ffData>
              </w:fldChar>
            </w:r>
            <w:bookmarkStart w:id="15" w:name="Check14"/>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bookmarkEnd w:id="15"/>
          </w:p>
        </w:tc>
        <w:tc>
          <w:tcPr>
            <w:tcW w:w="3960" w:type="dxa"/>
            <w:gridSpan w:val="2"/>
            <w:tcBorders>
              <w:top w:val="nil"/>
              <w:bottom w:val="nil"/>
            </w:tcBorders>
          </w:tcPr>
          <w:p w:rsidR="00EA3F04" w:rsidRPr="00EA3F04" w:rsidRDefault="00EA3F04" w:rsidP="005926F4">
            <w:pPr>
              <w:rPr>
                <w:rFonts w:ascii="Arial" w:hAnsi="Arial" w:cs="Arial"/>
              </w:rPr>
            </w:pPr>
            <w:r w:rsidRPr="00EA3F04">
              <w:rPr>
                <w:rFonts w:ascii="Arial" w:hAnsi="Arial" w:cs="Arial"/>
              </w:rPr>
              <w:t xml:space="preserve">Pollution Prevention and </w:t>
            </w:r>
            <w:r w:rsidR="005926F4">
              <w:rPr>
                <w:rFonts w:ascii="Arial" w:hAnsi="Arial" w:cs="Arial"/>
              </w:rPr>
              <w:t>Waste Reduction</w:t>
            </w:r>
          </w:p>
        </w:tc>
        <w:tc>
          <w:tcPr>
            <w:tcW w:w="1200" w:type="dxa"/>
            <w:tcBorders>
              <w:top w:val="nil"/>
              <w:bottom w:val="nil"/>
            </w:tcBorders>
          </w:tcPr>
          <w:p w:rsidR="00EA3F04" w:rsidRPr="00EA3F04" w:rsidRDefault="00EA3F04" w:rsidP="00EA3F04">
            <w:pPr>
              <w:jc w:val="right"/>
              <w:rPr>
                <w:rFonts w:ascii="Arial" w:hAnsi="Arial" w:cs="Arial"/>
              </w:rPr>
            </w:pPr>
            <w:r w:rsidRPr="00EA3F04">
              <w:rPr>
                <w:rFonts w:ascii="Arial" w:hAnsi="Arial" w:cs="Arial"/>
              </w:rPr>
              <w:fldChar w:fldCharType="begin">
                <w:ffData>
                  <w:name w:val="Check18"/>
                  <w:enabled/>
                  <w:calcOnExit w:val="0"/>
                  <w:checkBox>
                    <w:sizeAuto/>
                    <w:default w:val="0"/>
                  </w:checkBox>
                </w:ffData>
              </w:fldChar>
            </w:r>
            <w:bookmarkStart w:id="16" w:name="Check18"/>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bookmarkEnd w:id="16"/>
          </w:p>
        </w:tc>
        <w:tc>
          <w:tcPr>
            <w:tcW w:w="3360" w:type="dxa"/>
            <w:tcBorders>
              <w:top w:val="nil"/>
              <w:bottom w:val="nil"/>
            </w:tcBorders>
          </w:tcPr>
          <w:p w:rsidR="00EA3F04" w:rsidRPr="00EA3F04" w:rsidRDefault="005926F4" w:rsidP="00EA3F04">
            <w:pPr>
              <w:rPr>
                <w:rFonts w:ascii="Arial" w:hAnsi="Arial" w:cs="Arial"/>
              </w:rPr>
            </w:pPr>
            <w:r>
              <w:rPr>
                <w:rFonts w:ascii="Arial" w:hAnsi="Arial" w:cs="Arial"/>
              </w:rPr>
              <w:t>Best Environmental Practices</w:t>
            </w:r>
          </w:p>
        </w:tc>
      </w:tr>
      <w:tr w:rsidR="00EA3F04" w:rsidRPr="00EA3F04" w:rsidTr="004E1105">
        <w:tblPrEx>
          <w:tblBorders>
            <w:insideH w:val="none" w:sz="0" w:space="0" w:color="auto"/>
            <w:insideV w:val="none" w:sz="0" w:space="0" w:color="auto"/>
          </w:tblBorders>
          <w:tblCellMar>
            <w:left w:w="108" w:type="dxa"/>
            <w:right w:w="108" w:type="dxa"/>
          </w:tblCellMar>
        </w:tblPrEx>
        <w:tc>
          <w:tcPr>
            <w:tcW w:w="960" w:type="dxa"/>
            <w:tcBorders>
              <w:top w:val="nil"/>
              <w:bottom w:val="nil"/>
            </w:tcBorders>
          </w:tcPr>
          <w:p w:rsidR="00EA3F04" w:rsidRPr="00EA3F04" w:rsidRDefault="00EA3F04" w:rsidP="00EA3F04">
            <w:pPr>
              <w:jc w:val="right"/>
              <w:rPr>
                <w:rFonts w:ascii="Arial" w:hAnsi="Arial" w:cs="Arial"/>
              </w:rPr>
            </w:pPr>
            <w:r w:rsidRPr="00EA3F04">
              <w:rPr>
                <w:rFonts w:ascii="Arial" w:hAnsi="Arial" w:cs="Arial"/>
              </w:rPr>
              <w:fldChar w:fldCharType="begin">
                <w:ffData>
                  <w:name w:val="Check15"/>
                  <w:enabled/>
                  <w:calcOnExit w:val="0"/>
                  <w:checkBox>
                    <w:sizeAuto/>
                    <w:default w:val="0"/>
                  </w:checkBox>
                </w:ffData>
              </w:fldChar>
            </w:r>
            <w:bookmarkStart w:id="17" w:name="Check15"/>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bookmarkEnd w:id="17"/>
          </w:p>
        </w:tc>
        <w:tc>
          <w:tcPr>
            <w:tcW w:w="3960" w:type="dxa"/>
            <w:gridSpan w:val="2"/>
            <w:tcBorders>
              <w:top w:val="nil"/>
              <w:bottom w:val="nil"/>
            </w:tcBorders>
          </w:tcPr>
          <w:p w:rsidR="00ED4588" w:rsidRPr="00EA3F04" w:rsidRDefault="005926F4" w:rsidP="00EA3F04">
            <w:pPr>
              <w:rPr>
                <w:rFonts w:ascii="Arial" w:hAnsi="Arial" w:cs="Arial"/>
              </w:rPr>
            </w:pPr>
            <w:r>
              <w:rPr>
                <w:rFonts w:ascii="Arial" w:hAnsi="Arial" w:cs="Arial"/>
              </w:rPr>
              <w:t>Protecting Our Watersheds</w:t>
            </w:r>
          </w:p>
        </w:tc>
        <w:tc>
          <w:tcPr>
            <w:tcW w:w="1200" w:type="dxa"/>
            <w:tcBorders>
              <w:top w:val="nil"/>
              <w:bottom w:val="nil"/>
            </w:tcBorders>
          </w:tcPr>
          <w:p w:rsidR="00EA3F04" w:rsidRPr="00EA3F04" w:rsidRDefault="00EA3F04" w:rsidP="00EA3F04">
            <w:pPr>
              <w:jc w:val="right"/>
              <w:rPr>
                <w:rFonts w:ascii="Arial" w:hAnsi="Arial" w:cs="Arial"/>
              </w:rPr>
            </w:pPr>
            <w:r w:rsidRPr="00EA3F04">
              <w:rPr>
                <w:rFonts w:ascii="Arial" w:hAnsi="Arial" w:cs="Arial"/>
              </w:rPr>
              <w:fldChar w:fldCharType="begin">
                <w:ffData>
                  <w:name w:val="Check19"/>
                  <w:enabled/>
                  <w:calcOnExit w:val="0"/>
                  <w:checkBox>
                    <w:sizeAuto/>
                    <w:default w:val="0"/>
                  </w:checkBox>
                </w:ffData>
              </w:fldChar>
            </w:r>
            <w:bookmarkStart w:id="18" w:name="Check19"/>
            <w:r w:rsidRPr="00EA3F04">
              <w:rPr>
                <w:rFonts w:ascii="Arial" w:hAnsi="Arial" w:cs="Arial"/>
              </w:rPr>
              <w:instrText xml:space="preserve"> FORMCHECKBOX </w:instrText>
            </w:r>
            <w:r w:rsidR="00C761BB">
              <w:rPr>
                <w:rFonts w:ascii="Arial" w:hAnsi="Arial" w:cs="Arial"/>
              </w:rPr>
            </w:r>
            <w:r w:rsidR="00C761BB">
              <w:rPr>
                <w:rFonts w:ascii="Arial" w:hAnsi="Arial" w:cs="Arial"/>
              </w:rPr>
              <w:fldChar w:fldCharType="separate"/>
            </w:r>
            <w:r w:rsidRPr="00EA3F04">
              <w:rPr>
                <w:rFonts w:ascii="Arial" w:hAnsi="Arial" w:cs="Arial"/>
              </w:rPr>
              <w:fldChar w:fldCharType="end"/>
            </w:r>
            <w:bookmarkEnd w:id="18"/>
          </w:p>
        </w:tc>
        <w:tc>
          <w:tcPr>
            <w:tcW w:w="3360" w:type="dxa"/>
            <w:tcBorders>
              <w:top w:val="nil"/>
              <w:bottom w:val="nil"/>
            </w:tcBorders>
          </w:tcPr>
          <w:p w:rsidR="00EA3F04" w:rsidRPr="00EA3F04" w:rsidRDefault="005926F4" w:rsidP="00EA3F04">
            <w:pPr>
              <w:rPr>
                <w:rFonts w:ascii="Arial" w:hAnsi="Arial" w:cs="Arial"/>
              </w:rPr>
            </w:pPr>
            <w:r w:rsidRPr="005926F4">
              <w:rPr>
                <w:rFonts w:ascii="Arial" w:hAnsi="Arial" w:cs="Arial"/>
              </w:rPr>
              <w:t>Protecting Our Natural Resources</w:t>
            </w:r>
          </w:p>
        </w:tc>
      </w:tr>
      <w:tr w:rsidR="00E264CC" w:rsidRPr="00EA3F04" w:rsidTr="001D0382">
        <w:tblPrEx>
          <w:tblBorders>
            <w:insideH w:val="none" w:sz="0" w:space="0" w:color="auto"/>
            <w:insideV w:val="none" w:sz="0" w:space="0" w:color="auto"/>
          </w:tblBorders>
          <w:tblCellMar>
            <w:left w:w="108" w:type="dxa"/>
            <w:right w:w="108" w:type="dxa"/>
          </w:tblCellMar>
        </w:tblPrEx>
        <w:trPr>
          <w:gridAfter w:val="2"/>
          <w:wAfter w:w="4560" w:type="dxa"/>
        </w:trPr>
        <w:tc>
          <w:tcPr>
            <w:tcW w:w="960" w:type="dxa"/>
            <w:tcBorders>
              <w:top w:val="nil"/>
              <w:bottom w:val="nil"/>
            </w:tcBorders>
          </w:tcPr>
          <w:p w:rsidR="00E264CC" w:rsidRPr="00E264CC" w:rsidRDefault="00E264CC" w:rsidP="001D0382">
            <w:pPr>
              <w:jc w:val="right"/>
              <w:rPr>
                <w:rFonts w:ascii="Arial" w:hAnsi="Arial" w:cs="Arial"/>
                <w:highlight w:val="yellow"/>
              </w:rPr>
            </w:pPr>
          </w:p>
        </w:tc>
        <w:tc>
          <w:tcPr>
            <w:tcW w:w="3960" w:type="dxa"/>
            <w:gridSpan w:val="2"/>
            <w:tcBorders>
              <w:top w:val="nil"/>
              <w:bottom w:val="nil"/>
            </w:tcBorders>
          </w:tcPr>
          <w:p w:rsidR="00E264CC" w:rsidRPr="00E264CC" w:rsidRDefault="00E264CC" w:rsidP="001D0382">
            <w:pPr>
              <w:rPr>
                <w:rFonts w:ascii="Arial" w:hAnsi="Arial" w:cs="Arial"/>
                <w:highlight w:val="yellow"/>
              </w:rPr>
            </w:pPr>
          </w:p>
        </w:tc>
      </w:tr>
      <w:tr w:rsidR="00EA3F04" w:rsidRPr="00EA3F04" w:rsidTr="004E1105">
        <w:tc>
          <w:tcPr>
            <w:tcW w:w="9480" w:type="dxa"/>
            <w:gridSpan w:val="5"/>
            <w:tcBorders>
              <w:top w:val="single" w:sz="4" w:space="0" w:color="auto"/>
              <w:left w:val="single" w:sz="4" w:space="0" w:color="auto"/>
              <w:bottom w:val="single" w:sz="4" w:space="0" w:color="auto"/>
              <w:right w:val="single" w:sz="4" w:space="0" w:color="auto"/>
            </w:tcBorders>
            <w:shd w:val="clear" w:color="auto" w:fill="C0C0C0"/>
          </w:tcPr>
          <w:p w:rsidR="00EA3F04" w:rsidRPr="00EA3F04" w:rsidRDefault="00EA3F04" w:rsidP="00EA3F04">
            <w:pPr>
              <w:spacing w:before="120"/>
              <w:rPr>
                <w:rFonts w:ascii="Arial" w:hAnsi="Arial" w:cs="Arial"/>
                <w:b/>
              </w:rPr>
            </w:pPr>
            <w:r w:rsidRPr="00EA3F04">
              <w:rPr>
                <w:rFonts w:ascii="Arial" w:hAnsi="Arial" w:cs="Arial"/>
                <w:b/>
              </w:rPr>
              <w:t>PRESENTATION TITLE</w:t>
            </w:r>
          </w:p>
        </w:tc>
      </w:tr>
      <w:tr w:rsidR="00EA3F04" w:rsidRPr="00EA3F04" w:rsidTr="004E1105">
        <w:tc>
          <w:tcPr>
            <w:tcW w:w="1750" w:type="dxa"/>
            <w:gridSpan w:val="2"/>
            <w:tcBorders>
              <w:top w:val="single" w:sz="4" w:space="0" w:color="auto"/>
              <w:left w:val="single" w:sz="4" w:space="0" w:color="auto"/>
              <w:bottom w:val="single" w:sz="4" w:space="0" w:color="auto"/>
              <w:right w:val="nil"/>
            </w:tcBorders>
          </w:tcPr>
          <w:p w:rsidR="00EA3F04" w:rsidRPr="00EA3F04" w:rsidRDefault="00EA3F04" w:rsidP="00EA3F04">
            <w:pPr>
              <w:spacing w:before="120" w:after="120"/>
              <w:jc w:val="right"/>
              <w:rPr>
                <w:rFonts w:ascii="Arial" w:hAnsi="Arial" w:cs="Arial"/>
              </w:rPr>
            </w:pPr>
            <w:r w:rsidRPr="00EA3F04">
              <w:rPr>
                <w:rFonts w:ascii="Arial" w:hAnsi="Arial" w:cs="Arial"/>
              </w:rPr>
              <w:t>Title:</w:t>
            </w:r>
          </w:p>
        </w:tc>
        <w:bookmarkStart w:id="19" w:name="Text18"/>
        <w:tc>
          <w:tcPr>
            <w:tcW w:w="7730" w:type="dxa"/>
            <w:gridSpan w:val="3"/>
            <w:tcBorders>
              <w:top w:val="single" w:sz="4" w:space="0" w:color="auto"/>
              <w:left w:val="nil"/>
              <w:bottom w:val="single" w:sz="4" w:space="0" w:color="auto"/>
              <w:right w:val="single" w:sz="4" w:space="0" w:color="auto"/>
            </w:tcBorders>
          </w:tcPr>
          <w:p w:rsidR="00EA3F04" w:rsidRPr="00EA3F04" w:rsidRDefault="00EA3F04" w:rsidP="00EA3F04">
            <w:pPr>
              <w:spacing w:before="120" w:after="120"/>
              <w:rPr>
                <w:rFonts w:ascii="Arial" w:hAnsi="Arial" w:cs="Arial"/>
              </w:rPr>
            </w:pPr>
            <w:r w:rsidRPr="00EA3F04">
              <w:rPr>
                <w:rFonts w:ascii="Arial" w:hAnsi="Arial" w:cs="Arial"/>
              </w:rPr>
              <w:fldChar w:fldCharType="begin">
                <w:ffData>
                  <w:name w:val="Text18"/>
                  <w:enabled/>
                  <w:calcOnExit w:val="0"/>
                  <w:textInput>
                    <w:maxLength w:val="150"/>
                  </w:textInput>
                </w:ffData>
              </w:fldChar>
            </w:r>
            <w:r w:rsidRPr="00EA3F04">
              <w:rPr>
                <w:rFonts w:ascii="Arial" w:hAnsi="Arial" w:cs="Arial"/>
              </w:rPr>
              <w:instrText xml:space="preserve"> FORMTEXT </w:instrText>
            </w:r>
            <w:r w:rsidRPr="00EA3F04">
              <w:rPr>
                <w:rFonts w:ascii="Arial" w:hAnsi="Arial" w:cs="Arial"/>
              </w:rPr>
            </w:r>
            <w:r w:rsidRPr="00EA3F04">
              <w:rPr>
                <w:rFonts w:ascii="Arial" w:hAnsi="Arial" w:cs="Arial"/>
              </w:rPr>
              <w:fldChar w:fldCharType="separate"/>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rPr>
              <w:fldChar w:fldCharType="end"/>
            </w:r>
            <w:bookmarkEnd w:id="19"/>
          </w:p>
        </w:tc>
      </w:tr>
      <w:tr w:rsidR="00EA3F04" w:rsidRPr="00EA3F04" w:rsidTr="004E1105">
        <w:tc>
          <w:tcPr>
            <w:tcW w:w="948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EA3F04" w:rsidRPr="00EA3F04" w:rsidRDefault="00EA3F04" w:rsidP="00EA3F04">
            <w:pPr>
              <w:spacing w:before="120"/>
              <w:rPr>
                <w:rFonts w:ascii="Arial" w:hAnsi="Arial" w:cs="Arial"/>
                <w:b/>
              </w:rPr>
            </w:pPr>
            <w:r w:rsidRPr="00EA3F04">
              <w:rPr>
                <w:rFonts w:ascii="Arial" w:hAnsi="Arial" w:cs="Arial"/>
                <w:b/>
              </w:rPr>
              <w:t>PRESENTATION ABSTRACT (300 words or less)</w:t>
            </w:r>
          </w:p>
        </w:tc>
      </w:tr>
      <w:tr w:rsidR="00EA3F04" w:rsidRPr="00EA3F04" w:rsidTr="004E1105">
        <w:trPr>
          <w:trHeight w:val="809"/>
        </w:trPr>
        <w:tc>
          <w:tcPr>
            <w:tcW w:w="1750" w:type="dxa"/>
            <w:gridSpan w:val="2"/>
            <w:tcBorders>
              <w:top w:val="single" w:sz="4" w:space="0" w:color="auto"/>
              <w:left w:val="single" w:sz="4" w:space="0" w:color="auto"/>
              <w:bottom w:val="single" w:sz="4" w:space="0" w:color="auto"/>
              <w:right w:val="nil"/>
            </w:tcBorders>
          </w:tcPr>
          <w:p w:rsidR="00EA3F04" w:rsidRPr="00EA3F04" w:rsidRDefault="00EA3F04" w:rsidP="00EA3F04">
            <w:pPr>
              <w:spacing w:before="120" w:after="120"/>
              <w:jc w:val="right"/>
              <w:rPr>
                <w:rFonts w:ascii="Arial" w:hAnsi="Arial" w:cs="Arial"/>
              </w:rPr>
            </w:pPr>
            <w:r w:rsidRPr="00EA3F04">
              <w:rPr>
                <w:rFonts w:ascii="Arial" w:hAnsi="Arial" w:cs="Arial"/>
              </w:rPr>
              <w:t>Description:</w:t>
            </w:r>
          </w:p>
        </w:tc>
        <w:tc>
          <w:tcPr>
            <w:tcW w:w="7730" w:type="dxa"/>
            <w:gridSpan w:val="3"/>
            <w:tcBorders>
              <w:top w:val="single" w:sz="4" w:space="0" w:color="auto"/>
              <w:left w:val="nil"/>
              <w:bottom w:val="single" w:sz="4" w:space="0" w:color="auto"/>
              <w:right w:val="single" w:sz="4" w:space="0" w:color="auto"/>
            </w:tcBorders>
          </w:tcPr>
          <w:p w:rsidR="00EA3F04" w:rsidRPr="00EA3F04" w:rsidRDefault="00EA3F04" w:rsidP="00EA3F04">
            <w:pPr>
              <w:spacing w:before="120" w:after="120"/>
              <w:rPr>
                <w:rFonts w:ascii="Arial" w:hAnsi="Arial" w:cs="Arial"/>
              </w:rPr>
            </w:pPr>
            <w:r w:rsidRPr="00EA3F04">
              <w:rPr>
                <w:rFonts w:ascii="Arial" w:hAnsi="Arial" w:cs="Arial"/>
              </w:rPr>
              <w:fldChar w:fldCharType="begin">
                <w:ffData>
                  <w:name w:val=""/>
                  <w:enabled/>
                  <w:calcOnExit w:val="0"/>
                  <w:textInput>
                    <w:maxLength w:val="750"/>
                  </w:textInput>
                </w:ffData>
              </w:fldChar>
            </w:r>
            <w:r w:rsidRPr="00EA3F04">
              <w:rPr>
                <w:rFonts w:ascii="Arial" w:hAnsi="Arial" w:cs="Arial"/>
              </w:rPr>
              <w:instrText xml:space="preserve"> FORMTEXT </w:instrText>
            </w:r>
            <w:r w:rsidRPr="00EA3F04">
              <w:rPr>
                <w:rFonts w:ascii="Arial" w:hAnsi="Arial" w:cs="Arial"/>
              </w:rPr>
            </w:r>
            <w:r w:rsidRPr="00EA3F04">
              <w:rPr>
                <w:rFonts w:ascii="Arial" w:hAnsi="Arial" w:cs="Arial"/>
              </w:rPr>
              <w:fldChar w:fldCharType="separate"/>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noProof/>
              </w:rPr>
              <w:t> </w:t>
            </w:r>
            <w:r w:rsidRPr="00EA3F04">
              <w:rPr>
                <w:rFonts w:ascii="Arial" w:hAnsi="Arial" w:cs="Arial"/>
              </w:rPr>
              <w:fldChar w:fldCharType="end"/>
            </w:r>
          </w:p>
        </w:tc>
      </w:tr>
    </w:tbl>
    <w:p w:rsidR="00EA3F04" w:rsidRPr="00EA3F04" w:rsidRDefault="00EA3F04" w:rsidP="00EA3F04">
      <w:pPr>
        <w:spacing w:after="0" w:line="240" w:lineRule="auto"/>
        <w:rPr>
          <w:rFonts w:ascii="Arial" w:eastAsia="Times New Roman" w:hAnsi="Arial" w:cs="Arial"/>
          <w:sz w:val="24"/>
          <w:szCs w:val="24"/>
        </w:rPr>
      </w:pPr>
    </w:p>
    <w:p w:rsidR="00EA3F04" w:rsidRDefault="00EA3F04" w:rsidP="00E81A8A"/>
    <w:sectPr w:rsidR="00EA3F04" w:rsidSect="00E158C2">
      <w:headerReference w:type="even" r:id="rId10"/>
      <w:footerReference w:type="default" r:id="rId11"/>
      <w:headerReference w:type="first" r:id="rId12"/>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BB" w:rsidRDefault="00C761BB" w:rsidP="00EA3F04">
      <w:pPr>
        <w:spacing w:after="0" w:line="240" w:lineRule="auto"/>
      </w:pPr>
      <w:r>
        <w:separator/>
      </w:r>
    </w:p>
  </w:endnote>
  <w:endnote w:type="continuationSeparator" w:id="0">
    <w:p w:rsidR="00C761BB" w:rsidRDefault="00C761BB" w:rsidP="00EA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04" w:rsidRPr="008A6BE5" w:rsidRDefault="00EA3F04" w:rsidP="008A6BE5">
    <w:pPr>
      <w:pStyle w:val="Footer"/>
      <w:jc w:val="center"/>
      <w:rPr>
        <w:sz w:val="16"/>
        <w:szCs w:val="16"/>
      </w:rPr>
    </w:pPr>
    <w:r w:rsidRPr="008A6BE5">
      <w:rPr>
        <w:rStyle w:val="PageNumber"/>
        <w:sz w:val="16"/>
        <w:szCs w:val="16"/>
      </w:rPr>
      <w:fldChar w:fldCharType="begin"/>
    </w:r>
    <w:r w:rsidRPr="008A6BE5">
      <w:rPr>
        <w:rStyle w:val="PageNumber"/>
        <w:sz w:val="16"/>
        <w:szCs w:val="16"/>
      </w:rPr>
      <w:instrText xml:space="preserve"> PAGE </w:instrText>
    </w:r>
    <w:r w:rsidRPr="008A6BE5">
      <w:rPr>
        <w:rStyle w:val="PageNumber"/>
        <w:sz w:val="16"/>
        <w:szCs w:val="16"/>
      </w:rPr>
      <w:fldChar w:fldCharType="separate"/>
    </w:r>
    <w:r w:rsidR="00706D13">
      <w:rPr>
        <w:rStyle w:val="PageNumber"/>
        <w:noProof/>
        <w:sz w:val="16"/>
        <w:szCs w:val="16"/>
      </w:rPr>
      <w:t>2</w:t>
    </w:r>
    <w:r w:rsidRPr="008A6BE5">
      <w:rPr>
        <w:rStyle w:val="PageNumber"/>
        <w:sz w:val="16"/>
        <w:szCs w:val="16"/>
      </w:rPr>
      <w:fldChar w:fldCharType="end"/>
    </w:r>
    <w:r w:rsidRPr="008A6BE5">
      <w:rPr>
        <w:rStyle w:val="PageNumber"/>
        <w:sz w:val="16"/>
        <w:szCs w:val="16"/>
      </w:rPr>
      <w:t xml:space="preserve"> of </w:t>
    </w:r>
    <w:r w:rsidRPr="008A6BE5">
      <w:rPr>
        <w:rStyle w:val="PageNumber"/>
        <w:sz w:val="16"/>
        <w:szCs w:val="16"/>
      </w:rPr>
      <w:fldChar w:fldCharType="begin"/>
    </w:r>
    <w:r w:rsidRPr="008A6BE5">
      <w:rPr>
        <w:rStyle w:val="PageNumber"/>
        <w:sz w:val="16"/>
        <w:szCs w:val="16"/>
      </w:rPr>
      <w:instrText xml:space="preserve"> NUMPAGES </w:instrText>
    </w:r>
    <w:r w:rsidRPr="008A6BE5">
      <w:rPr>
        <w:rStyle w:val="PageNumber"/>
        <w:sz w:val="16"/>
        <w:szCs w:val="16"/>
      </w:rPr>
      <w:fldChar w:fldCharType="separate"/>
    </w:r>
    <w:r w:rsidR="00706D13">
      <w:rPr>
        <w:rStyle w:val="PageNumber"/>
        <w:noProof/>
        <w:sz w:val="16"/>
        <w:szCs w:val="16"/>
      </w:rPr>
      <w:t>6</w:t>
    </w:r>
    <w:r w:rsidRPr="008A6BE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BB" w:rsidRDefault="00C761BB" w:rsidP="00EA3F04">
      <w:pPr>
        <w:spacing w:after="0" w:line="240" w:lineRule="auto"/>
      </w:pPr>
      <w:r>
        <w:separator/>
      </w:r>
    </w:p>
  </w:footnote>
  <w:footnote w:type="continuationSeparator" w:id="0">
    <w:p w:rsidR="00C761BB" w:rsidRDefault="00C761BB" w:rsidP="00EA3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04" w:rsidRDefault="00C761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04" w:rsidRDefault="00C761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9C7"/>
    <w:multiLevelType w:val="hybridMultilevel"/>
    <w:tmpl w:val="2A2893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BE010D"/>
    <w:multiLevelType w:val="hybridMultilevel"/>
    <w:tmpl w:val="00B806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AF543B"/>
    <w:multiLevelType w:val="hybridMultilevel"/>
    <w:tmpl w:val="658631C2"/>
    <w:lvl w:ilvl="0" w:tplc="04090005">
      <w:start w:val="1"/>
      <w:numFmt w:val="bullet"/>
      <w:lvlText w:val=""/>
      <w:lvlJc w:val="left"/>
      <w:pPr>
        <w:tabs>
          <w:tab w:val="num" w:pos="720"/>
        </w:tabs>
        <w:ind w:left="720" w:hanging="360"/>
      </w:pPr>
      <w:rPr>
        <w:rFonts w:ascii="Wingdings" w:hAnsi="Wingdings"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96BC0"/>
    <w:multiLevelType w:val="hybridMultilevel"/>
    <w:tmpl w:val="CD9C70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523D7"/>
    <w:multiLevelType w:val="hybridMultilevel"/>
    <w:tmpl w:val="5F164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14797"/>
    <w:multiLevelType w:val="hybridMultilevel"/>
    <w:tmpl w:val="A2AAE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7C02"/>
    <w:multiLevelType w:val="hybridMultilevel"/>
    <w:tmpl w:val="7C486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F4992"/>
    <w:multiLevelType w:val="hybridMultilevel"/>
    <w:tmpl w:val="3F725E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C7253E"/>
    <w:multiLevelType w:val="hybridMultilevel"/>
    <w:tmpl w:val="D32E4072"/>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661B1"/>
    <w:multiLevelType w:val="hybridMultilevel"/>
    <w:tmpl w:val="1408EC6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05A742F"/>
    <w:multiLevelType w:val="hybridMultilevel"/>
    <w:tmpl w:val="077A2818"/>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F6C37"/>
    <w:multiLevelType w:val="hybridMultilevel"/>
    <w:tmpl w:val="A44EBAB4"/>
    <w:lvl w:ilvl="0" w:tplc="04090005">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916BA"/>
    <w:multiLevelType w:val="hybridMultilevel"/>
    <w:tmpl w:val="49A2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821949"/>
    <w:multiLevelType w:val="hybridMultilevel"/>
    <w:tmpl w:val="9CD642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69E04E7"/>
    <w:multiLevelType w:val="hybridMultilevel"/>
    <w:tmpl w:val="60C4B2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23248"/>
    <w:multiLevelType w:val="hybridMultilevel"/>
    <w:tmpl w:val="CC4E77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6C20D2"/>
    <w:multiLevelType w:val="hybridMultilevel"/>
    <w:tmpl w:val="9650F912"/>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34BA3"/>
    <w:multiLevelType w:val="hybridMultilevel"/>
    <w:tmpl w:val="EA544086"/>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713977"/>
    <w:multiLevelType w:val="hybridMultilevel"/>
    <w:tmpl w:val="865E4220"/>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A0DCB"/>
    <w:multiLevelType w:val="hybridMultilevel"/>
    <w:tmpl w:val="C18254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4"/>
  </w:num>
  <w:num w:numId="3">
    <w:abstractNumId w:val="11"/>
  </w:num>
  <w:num w:numId="4">
    <w:abstractNumId w:val="17"/>
  </w:num>
  <w:num w:numId="5">
    <w:abstractNumId w:val="8"/>
  </w:num>
  <w:num w:numId="6">
    <w:abstractNumId w:val="16"/>
  </w:num>
  <w:num w:numId="7">
    <w:abstractNumId w:val="18"/>
  </w:num>
  <w:num w:numId="8">
    <w:abstractNumId w:val="10"/>
  </w:num>
  <w:num w:numId="9">
    <w:abstractNumId w:val="7"/>
  </w:num>
  <w:num w:numId="10">
    <w:abstractNumId w:val="1"/>
  </w:num>
  <w:num w:numId="11">
    <w:abstractNumId w:val="0"/>
  </w:num>
  <w:num w:numId="12">
    <w:abstractNumId w:val="3"/>
  </w:num>
  <w:num w:numId="13">
    <w:abstractNumId w:val="19"/>
  </w:num>
  <w:num w:numId="14">
    <w:abstractNumId w:val="2"/>
  </w:num>
  <w:num w:numId="15">
    <w:abstractNumId w:val="9"/>
  </w:num>
  <w:num w:numId="16">
    <w:abstractNumId w:val="15"/>
  </w:num>
  <w:num w:numId="17">
    <w:abstractNumId w:val="5"/>
  </w:num>
  <w:num w:numId="18">
    <w:abstractNumId w:val="6"/>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8A"/>
    <w:rsid w:val="00027164"/>
    <w:rsid w:val="0003114D"/>
    <w:rsid w:val="000451BE"/>
    <w:rsid w:val="000673DE"/>
    <w:rsid w:val="00071856"/>
    <w:rsid w:val="00073AE2"/>
    <w:rsid w:val="000744BE"/>
    <w:rsid w:val="00095E3A"/>
    <w:rsid w:val="00126A11"/>
    <w:rsid w:val="00157869"/>
    <w:rsid w:val="00175B50"/>
    <w:rsid w:val="001A3139"/>
    <w:rsid w:val="001E3B68"/>
    <w:rsid w:val="00221722"/>
    <w:rsid w:val="002E62B8"/>
    <w:rsid w:val="00383074"/>
    <w:rsid w:val="003C3CB2"/>
    <w:rsid w:val="003F791F"/>
    <w:rsid w:val="00406426"/>
    <w:rsid w:val="00440419"/>
    <w:rsid w:val="004552B5"/>
    <w:rsid w:val="004E1105"/>
    <w:rsid w:val="005926F4"/>
    <w:rsid w:val="00595821"/>
    <w:rsid w:val="005D3026"/>
    <w:rsid w:val="00634345"/>
    <w:rsid w:val="006A6097"/>
    <w:rsid w:val="006D2ED9"/>
    <w:rsid w:val="006F0D6C"/>
    <w:rsid w:val="00701D79"/>
    <w:rsid w:val="00706D13"/>
    <w:rsid w:val="007125D7"/>
    <w:rsid w:val="00764F9A"/>
    <w:rsid w:val="007A4B8C"/>
    <w:rsid w:val="007C5604"/>
    <w:rsid w:val="007D5EF5"/>
    <w:rsid w:val="007F7BEE"/>
    <w:rsid w:val="0080294D"/>
    <w:rsid w:val="008252CC"/>
    <w:rsid w:val="00843D17"/>
    <w:rsid w:val="00867AA2"/>
    <w:rsid w:val="008B0CED"/>
    <w:rsid w:val="008F4261"/>
    <w:rsid w:val="00921F3C"/>
    <w:rsid w:val="00966E11"/>
    <w:rsid w:val="00984D79"/>
    <w:rsid w:val="00A44CD0"/>
    <w:rsid w:val="00A9295E"/>
    <w:rsid w:val="00A955B7"/>
    <w:rsid w:val="00AA199D"/>
    <w:rsid w:val="00AA6823"/>
    <w:rsid w:val="00B421C7"/>
    <w:rsid w:val="00BE37BF"/>
    <w:rsid w:val="00BE5E56"/>
    <w:rsid w:val="00C315B8"/>
    <w:rsid w:val="00C45B99"/>
    <w:rsid w:val="00C761BB"/>
    <w:rsid w:val="00C82172"/>
    <w:rsid w:val="00CA11F2"/>
    <w:rsid w:val="00CF4058"/>
    <w:rsid w:val="00D2056B"/>
    <w:rsid w:val="00DE2AF2"/>
    <w:rsid w:val="00E158C2"/>
    <w:rsid w:val="00E264CC"/>
    <w:rsid w:val="00E33786"/>
    <w:rsid w:val="00E37A59"/>
    <w:rsid w:val="00E81A8A"/>
    <w:rsid w:val="00EA3F04"/>
    <w:rsid w:val="00ED4588"/>
    <w:rsid w:val="00EF4365"/>
    <w:rsid w:val="00F027AF"/>
    <w:rsid w:val="00F1087F"/>
    <w:rsid w:val="00F312C6"/>
    <w:rsid w:val="00FC68EA"/>
    <w:rsid w:val="00FE2B89"/>
    <w:rsid w:val="00FF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52DB658-7477-41CD-958E-FB7085E8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139"/>
    <w:pPr>
      <w:ind w:left="720"/>
      <w:contextualSpacing/>
    </w:pPr>
  </w:style>
  <w:style w:type="paragraph" w:styleId="Header">
    <w:name w:val="header"/>
    <w:basedOn w:val="Normal"/>
    <w:link w:val="HeaderChar"/>
    <w:uiPriority w:val="99"/>
    <w:unhideWhenUsed/>
    <w:rsid w:val="00EA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04"/>
  </w:style>
  <w:style w:type="paragraph" w:styleId="Footer">
    <w:name w:val="footer"/>
    <w:basedOn w:val="Normal"/>
    <w:link w:val="FooterChar"/>
    <w:uiPriority w:val="99"/>
    <w:unhideWhenUsed/>
    <w:rsid w:val="00EA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04"/>
  </w:style>
  <w:style w:type="table" w:styleId="TableGrid">
    <w:name w:val="Table Grid"/>
    <w:basedOn w:val="TableNormal"/>
    <w:rsid w:val="00EA3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3F04"/>
  </w:style>
  <w:style w:type="paragraph" w:styleId="FootnoteText">
    <w:name w:val="footnote text"/>
    <w:basedOn w:val="Normal"/>
    <w:link w:val="FootnoteTextChar"/>
    <w:semiHidden/>
    <w:rsid w:val="00EA3F04"/>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EA3F04"/>
    <w:rPr>
      <w:rFonts w:ascii="Arial" w:eastAsia="Times New Roman" w:hAnsi="Arial" w:cs="Arial"/>
      <w:sz w:val="20"/>
      <w:szCs w:val="20"/>
    </w:rPr>
  </w:style>
  <w:style w:type="character" w:styleId="FootnoteReference">
    <w:name w:val="footnote reference"/>
    <w:basedOn w:val="DefaultParagraphFont"/>
    <w:semiHidden/>
    <w:rsid w:val="00EA3F04"/>
    <w:rPr>
      <w:vertAlign w:val="superscript"/>
    </w:rPr>
  </w:style>
  <w:style w:type="character" w:styleId="Hyperlink">
    <w:name w:val="Hyperlink"/>
    <w:basedOn w:val="DefaultParagraphFont"/>
    <w:uiPriority w:val="99"/>
    <w:unhideWhenUsed/>
    <w:rsid w:val="00966E11"/>
    <w:rPr>
      <w:color w:val="0563C1" w:themeColor="hyperlink"/>
      <w:u w:val="single"/>
    </w:rPr>
  </w:style>
  <w:style w:type="character" w:styleId="FollowedHyperlink">
    <w:name w:val="FollowedHyperlink"/>
    <w:basedOn w:val="DefaultParagraphFont"/>
    <w:uiPriority w:val="99"/>
    <w:semiHidden/>
    <w:unhideWhenUsed/>
    <w:rsid w:val="003C3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center.gov/fes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center.gov/symposium2019-c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234D-4AC6-4B81-A819-790FBB4B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to Select Presentations and Speakers for  FES 2019</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to Select Presentations and Speakers for  FES 2019</dc:title>
  <dc:subject/>
  <dc:creator>Jimenez, Jose</dc:creator>
  <cp:keywords/>
  <dc:description/>
  <cp:lastModifiedBy>Luzzi, Stephen T CIV USARMY CEERD-CERL (US)</cp:lastModifiedBy>
  <cp:revision>8</cp:revision>
  <dcterms:created xsi:type="dcterms:W3CDTF">2019-03-15T21:28:00Z</dcterms:created>
  <dcterms:modified xsi:type="dcterms:W3CDTF">2019-05-09T21:08:00Z</dcterms:modified>
</cp:coreProperties>
</file>